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56A53" w14:textId="77777777" w:rsidR="00AE2411" w:rsidRPr="00AE2411" w:rsidRDefault="00AE2411" w:rsidP="00AE2411">
      <w:pPr>
        <w:spacing w:line="259" w:lineRule="auto"/>
        <w:ind w:left="10" w:hanging="10"/>
        <w:jc w:val="center"/>
        <w:rPr>
          <w:rFonts w:ascii="Times New Roman" w:hAnsi="Times New Roman" w:cs="Times New Roman"/>
          <w:b/>
          <w:bCs/>
          <w:sz w:val="32"/>
          <w:szCs w:val="32"/>
        </w:rPr>
      </w:pPr>
      <w:r w:rsidRPr="00AE2411">
        <w:rPr>
          <w:rFonts w:ascii="Times New Roman" w:eastAsia="Calibri" w:hAnsi="Times New Roman" w:cs="Times New Roman"/>
          <w:b/>
          <w:bCs/>
          <w:sz w:val="32"/>
          <w:szCs w:val="32"/>
        </w:rPr>
        <w:t>An Analysis of Covid-19 Vaccine Allergic</w:t>
      </w:r>
    </w:p>
    <w:p w14:paraId="6D3D1919" w14:textId="402A36F7" w:rsidR="00F27EDB" w:rsidRPr="00B70CAE" w:rsidRDefault="00AE2411" w:rsidP="00B70CAE">
      <w:pPr>
        <w:spacing w:after="109" w:line="259" w:lineRule="auto"/>
        <w:ind w:left="10" w:hanging="10"/>
        <w:jc w:val="center"/>
        <w:rPr>
          <w:rFonts w:ascii="Times New Roman" w:hAnsi="Times New Roman" w:cs="Times New Roman"/>
          <w:b/>
          <w:bCs/>
          <w:sz w:val="32"/>
          <w:szCs w:val="32"/>
        </w:rPr>
      </w:pPr>
      <w:r w:rsidRPr="00AE2411">
        <w:rPr>
          <w:rFonts w:ascii="Times New Roman" w:eastAsia="Calibri" w:hAnsi="Times New Roman" w:cs="Times New Roman"/>
          <w:b/>
          <w:bCs/>
          <w:sz w:val="32"/>
          <w:szCs w:val="32"/>
        </w:rPr>
        <w:t>Reactions</w:t>
      </w:r>
    </w:p>
    <w:p w14:paraId="5BF8C659" w14:textId="77777777" w:rsidR="00F27EDB" w:rsidRPr="00210614" w:rsidRDefault="00F27EDB" w:rsidP="00F27EDB">
      <w:pPr>
        <w:jc w:val="center"/>
        <w:rPr>
          <w:rFonts w:ascii="Times New Roman" w:eastAsiaTheme="minorEastAsia" w:hAnsi="Times New Roman" w:cs="Times New Roman"/>
          <w:bCs/>
          <w:sz w:val="32"/>
          <w:szCs w:val="32"/>
          <w:lang w:bidi="yi-Hebr"/>
        </w:rPr>
      </w:pPr>
    </w:p>
    <w:p w14:paraId="1268CDC4" w14:textId="4607816C" w:rsidR="00AE2411" w:rsidRPr="00AE2411" w:rsidRDefault="00AE2411" w:rsidP="00AE2411">
      <w:pPr>
        <w:spacing w:after="212" w:line="265" w:lineRule="auto"/>
        <w:ind w:left="10" w:right="36" w:hanging="10"/>
        <w:jc w:val="center"/>
        <w:rPr>
          <w:rFonts w:ascii="Times New Roman" w:hAnsi="Times New Roman" w:cs="Times New Roman"/>
        </w:rPr>
      </w:pPr>
      <w:r w:rsidRPr="00AE2411">
        <w:rPr>
          <w:rFonts w:ascii="Times New Roman" w:eastAsia="Calibri" w:hAnsi="Times New Roman" w:cs="Times New Roman"/>
        </w:rPr>
        <w:t xml:space="preserve">Robert P. </w:t>
      </w:r>
      <w:proofErr w:type="spellStart"/>
      <w:r w:rsidRPr="00AE2411">
        <w:rPr>
          <w:rFonts w:ascii="Times New Roman" w:eastAsia="Calibri" w:hAnsi="Times New Roman" w:cs="Times New Roman"/>
        </w:rPr>
        <w:t>Schumaker</w:t>
      </w:r>
      <w:proofErr w:type="spellEnd"/>
      <w:r w:rsidRPr="00AE2411">
        <w:rPr>
          <w:rFonts w:ascii="Times New Roman" w:eastAsia="Calibri" w:hAnsi="Times New Roman" w:cs="Times New Roman"/>
          <w:vertAlign w:val="superscript"/>
        </w:rPr>
        <w:footnoteReference w:id="1"/>
      </w:r>
      <w:r w:rsidRPr="00AE2411">
        <w:rPr>
          <w:rFonts w:ascii="Times New Roman" w:eastAsia="Calibri" w:hAnsi="Times New Roman" w:cs="Times New Roman"/>
        </w:rPr>
        <w:t xml:space="preserve">, Michael A. </w:t>
      </w:r>
      <w:proofErr w:type="spellStart"/>
      <w:r w:rsidRPr="00AE2411">
        <w:rPr>
          <w:rFonts w:ascii="Times New Roman" w:eastAsia="Calibri" w:hAnsi="Times New Roman" w:cs="Times New Roman"/>
        </w:rPr>
        <w:t>Veronin</w:t>
      </w:r>
      <w:proofErr w:type="spellEnd"/>
      <w:r w:rsidRPr="00AE2411">
        <w:rPr>
          <w:rFonts w:ascii="Times New Roman" w:eastAsia="Calibri" w:hAnsi="Times New Roman" w:cs="Times New Roman"/>
          <w:vertAlign w:val="superscript"/>
        </w:rPr>
        <w:footnoteReference w:id="2"/>
      </w:r>
      <w:r w:rsidRPr="00AE2411">
        <w:rPr>
          <w:rFonts w:ascii="Times New Roman" w:eastAsia="Calibri" w:hAnsi="Times New Roman" w:cs="Times New Roman"/>
        </w:rPr>
        <w:t>, Trevor Rohm</w:t>
      </w:r>
      <w:r w:rsidRPr="00AE2411">
        <w:rPr>
          <w:rFonts w:ascii="Times New Roman" w:eastAsia="Calibri" w:hAnsi="Times New Roman" w:cs="Times New Roman"/>
          <w:vertAlign w:val="superscript"/>
        </w:rPr>
        <w:footnoteReference w:id="3"/>
      </w:r>
      <w:r w:rsidRPr="00AE2411">
        <w:rPr>
          <w:rFonts w:ascii="Times New Roman" w:eastAsia="Calibri" w:hAnsi="Times New Roman" w:cs="Times New Roman"/>
        </w:rPr>
        <w:t>, Rohit R. Dixit</w:t>
      </w:r>
      <w:r w:rsidRPr="00AE2411">
        <w:rPr>
          <w:rFonts w:ascii="Times New Roman" w:eastAsia="Calibri" w:hAnsi="Times New Roman" w:cs="Times New Roman"/>
          <w:vertAlign w:val="superscript"/>
        </w:rPr>
        <w:t>4</w:t>
      </w:r>
      <w:r w:rsidRPr="00AE2411">
        <w:rPr>
          <w:rFonts w:ascii="Times New Roman" w:eastAsia="Calibri" w:hAnsi="Times New Roman" w:cs="Times New Roman"/>
        </w:rPr>
        <w:t xml:space="preserve">, </w:t>
      </w:r>
      <w:proofErr w:type="spellStart"/>
      <w:r w:rsidRPr="00AE2411">
        <w:rPr>
          <w:rFonts w:ascii="Times New Roman" w:eastAsia="Calibri" w:hAnsi="Times New Roman" w:cs="Times New Roman"/>
        </w:rPr>
        <w:t>Shadi</w:t>
      </w:r>
      <w:proofErr w:type="spellEnd"/>
      <w:r w:rsidRPr="00AE2411">
        <w:rPr>
          <w:rFonts w:ascii="Times New Roman" w:eastAsia="Calibri" w:hAnsi="Times New Roman" w:cs="Times New Roman"/>
        </w:rPr>
        <w:t xml:space="preserve"> Aljawarneh</w:t>
      </w:r>
      <w:r w:rsidRPr="00AE2411">
        <w:rPr>
          <w:rFonts w:ascii="Times New Roman" w:eastAsia="Calibri" w:hAnsi="Times New Roman" w:cs="Times New Roman"/>
          <w:vertAlign w:val="superscript"/>
        </w:rPr>
        <w:t>5</w:t>
      </w:r>
      <w:r w:rsidR="00656D6B">
        <w:rPr>
          <w:rFonts w:ascii="Times New Roman" w:eastAsia="Calibri" w:hAnsi="Times New Roman" w:cs="Times New Roman"/>
          <w:vertAlign w:val="superscript"/>
        </w:rPr>
        <w:t xml:space="preserve"> </w:t>
      </w:r>
      <w:r w:rsidRPr="00AE2411">
        <w:rPr>
          <w:rFonts w:ascii="Times New Roman" w:eastAsia="Calibri" w:hAnsi="Times New Roman" w:cs="Times New Roman"/>
        </w:rPr>
        <w:t>and Juan A. Lara</w:t>
      </w:r>
      <w:r w:rsidRPr="00AE2411">
        <w:rPr>
          <w:rFonts w:ascii="Times New Roman" w:eastAsia="Calibri" w:hAnsi="Times New Roman" w:cs="Times New Roman"/>
          <w:vertAlign w:val="superscript"/>
        </w:rPr>
        <w:t>6</w:t>
      </w:r>
    </w:p>
    <w:p w14:paraId="59AAA35B" w14:textId="77777777" w:rsidR="00AE2411" w:rsidRPr="00AE2411" w:rsidRDefault="00AE2411" w:rsidP="00AE2411">
      <w:pPr>
        <w:spacing w:after="4" w:line="259" w:lineRule="auto"/>
        <w:ind w:left="187" w:hanging="10"/>
        <w:rPr>
          <w:rFonts w:ascii="Times New Roman" w:hAnsi="Times New Roman" w:cs="Times New Roman"/>
        </w:rPr>
      </w:pPr>
      <w:r w:rsidRPr="00AE2411">
        <w:rPr>
          <w:rFonts w:ascii="Times New Roman" w:eastAsia="Calibri" w:hAnsi="Times New Roman" w:cs="Times New Roman"/>
          <w:vertAlign w:val="superscript"/>
        </w:rPr>
        <w:t>1</w:t>
      </w:r>
      <w:r w:rsidRPr="00AE2411">
        <w:rPr>
          <w:rFonts w:ascii="Times New Roman" w:eastAsia="Calibri" w:hAnsi="Times New Roman" w:cs="Times New Roman"/>
        </w:rPr>
        <w:t>Professor - Computer Science Dept., University of Texas at Tyler</w:t>
      </w:r>
    </w:p>
    <w:p w14:paraId="0249BB05" w14:textId="77777777" w:rsidR="00AE2411" w:rsidRPr="00AE2411" w:rsidRDefault="00AE2411" w:rsidP="00AE2411">
      <w:pPr>
        <w:spacing w:after="1" w:line="265" w:lineRule="auto"/>
        <w:ind w:left="10" w:hanging="10"/>
        <w:jc w:val="center"/>
        <w:rPr>
          <w:rFonts w:ascii="Times New Roman" w:hAnsi="Times New Roman" w:cs="Times New Roman"/>
        </w:rPr>
      </w:pPr>
      <w:r w:rsidRPr="00AE2411">
        <w:rPr>
          <w:rFonts w:ascii="Times New Roman" w:eastAsia="Calibri" w:hAnsi="Times New Roman" w:cs="Times New Roman"/>
          <w:vertAlign w:val="superscript"/>
        </w:rPr>
        <w:t>1</w:t>
      </w:r>
      <w:r w:rsidRPr="00AE2411">
        <w:rPr>
          <w:rFonts w:ascii="Times New Roman" w:eastAsia="Calibri" w:hAnsi="Times New Roman" w:cs="Times New Roman"/>
        </w:rPr>
        <w:t>Director - Data Analytics Lab, University of Texas at Tyler</w:t>
      </w:r>
    </w:p>
    <w:p w14:paraId="619863F0" w14:textId="51ABC73E" w:rsidR="00AE2411" w:rsidRPr="00AE2411" w:rsidRDefault="00AE2411" w:rsidP="00AE2411">
      <w:pPr>
        <w:spacing w:after="1" w:line="265" w:lineRule="auto"/>
        <w:ind w:left="10" w:hanging="10"/>
        <w:jc w:val="center"/>
        <w:rPr>
          <w:rFonts w:ascii="Times New Roman" w:hAnsi="Times New Roman" w:cs="Times New Roman"/>
        </w:rPr>
      </w:pPr>
      <w:r w:rsidRPr="00AE2411">
        <w:rPr>
          <w:rFonts w:ascii="Times New Roman" w:eastAsia="Calibri" w:hAnsi="Times New Roman" w:cs="Times New Roman"/>
          <w:vertAlign w:val="superscript"/>
        </w:rPr>
        <w:t>2</w:t>
      </w:r>
      <w:r w:rsidRPr="00AE2411">
        <w:rPr>
          <w:rFonts w:ascii="Times New Roman" w:eastAsia="Calibri" w:hAnsi="Times New Roman" w:cs="Times New Roman"/>
        </w:rPr>
        <w:t>Associate Professor - Pharmaceutical Sciences Dept., University of Texas at</w:t>
      </w:r>
      <w:r w:rsidR="00656D6B">
        <w:rPr>
          <w:rFonts w:ascii="Times New Roman" w:eastAsia="Calibri" w:hAnsi="Times New Roman" w:cs="Times New Roman"/>
        </w:rPr>
        <w:t xml:space="preserve"> </w:t>
      </w:r>
      <w:r w:rsidRPr="00AE2411">
        <w:rPr>
          <w:rFonts w:ascii="Times New Roman" w:eastAsia="Calibri" w:hAnsi="Times New Roman" w:cs="Times New Roman"/>
        </w:rPr>
        <w:t>Tyler</w:t>
      </w:r>
    </w:p>
    <w:p w14:paraId="2E3EE614" w14:textId="77777777" w:rsidR="00AE2411" w:rsidRPr="00AE2411" w:rsidRDefault="00AE2411" w:rsidP="00AE2411">
      <w:pPr>
        <w:spacing w:after="1" w:line="265" w:lineRule="auto"/>
        <w:ind w:left="10" w:hanging="10"/>
        <w:jc w:val="center"/>
        <w:rPr>
          <w:rFonts w:ascii="Times New Roman" w:hAnsi="Times New Roman" w:cs="Times New Roman"/>
        </w:rPr>
      </w:pPr>
      <w:r w:rsidRPr="00AE2411">
        <w:rPr>
          <w:rFonts w:ascii="Times New Roman" w:eastAsia="Calibri" w:hAnsi="Times New Roman" w:cs="Times New Roman"/>
          <w:vertAlign w:val="superscript"/>
        </w:rPr>
        <w:t>3</w:t>
      </w:r>
      <w:r w:rsidRPr="00AE2411">
        <w:rPr>
          <w:rFonts w:ascii="Times New Roman" w:eastAsia="Calibri" w:hAnsi="Times New Roman" w:cs="Times New Roman"/>
        </w:rPr>
        <w:t>Chief of Staff - Hereford Regional Medical Center</w:t>
      </w:r>
    </w:p>
    <w:p w14:paraId="3E0D495C" w14:textId="77777777" w:rsidR="00AE2411" w:rsidRPr="00AE2411" w:rsidRDefault="00AE2411" w:rsidP="00AE2411">
      <w:pPr>
        <w:spacing w:after="1" w:line="265" w:lineRule="auto"/>
        <w:ind w:left="10" w:hanging="10"/>
        <w:jc w:val="center"/>
        <w:rPr>
          <w:rFonts w:ascii="Times New Roman" w:hAnsi="Times New Roman" w:cs="Times New Roman"/>
        </w:rPr>
      </w:pPr>
      <w:r w:rsidRPr="00AE2411">
        <w:rPr>
          <w:rFonts w:ascii="Times New Roman" w:eastAsia="Calibri" w:hAnsi="Times New Roman" w:cs="Times New Roman"/>
          <w:vertAlign w:val="superscript"/>
        </w:rPr>
        <w:t>4</w:t>
      </w:r>
      <w:r w:rsidRPr="00AE2411">
        <w:rPr>
          <w:rFonts w:ascii="Times New Roman" w:eastAsia="Calibri" w:hAnsi="Times New Roman" w:cs="Times New Roman"/>
        </w:rPr>
        <w:t>Product Development, Siemens Digital Industries Software</w:t>
      </w:r>
    </w:p>
    <w:p w14:paraId="1EC41BD3" w14:textId="12A968F6" w:rsidR="00AE2411" w:rsidRPr="00AE2411" w:rsidRDefault="00AE2411" w:rsidP="00AE2411">
      <w:pPr>
        <w:spacing w:after="1" w:line="265" w:lineRule="auto"/>
        <w:ind w:left="10" w:right="80" w:hanging="10"/>
        <w:jc w:val="center"/>
        <w:rPr>
          <w:rFonts w:ascii="Times New Roman" w:hAnsi="Times New Roman" w:cs="Times New Roman"/>
        </w:rPr>
      </w:pPr>
      <w:r w:rsidRPr="00AE2411">
        <w:rPr>
          <w:rFonts w:ascii="Times New Roman" w:eastAsia="Calibri" w:hAnsi="Times New Roman" w:cs="Times New Roman"/>
          <w:vertAlign w:val="superscript"/>
        </w:rPr>
        <w:t>5</w:t>
      </w:r>
      <w:r w:rsidRPr="00AE2411">
        <w:rPr>
          <w:rFonts w:ascii="Times New Roman" w:eastAsia="Calibri" w:hAnsi="Times New Roman" w:cs="Times New Roman"/>
        </w:rPr>
        <w:t>Professor - Dept. of Software Engi</w:t>
      </w:r>
      <w:r w:rsidR="00985BDF">
        <w:rPr>
          <w:rFonts w:ascii="Times New Roman" w:eastAsia="Calibri" w:hAnsi="Times New Roman" w:cs="Times New Roman"/>
        </w:rPr>
        <w:t>n</w:t>
      </w:r>
      <w:r w:rsidRPr="00AE2411">
        <w:rPr>
          <w:rFonts w:ascii="Times New Roman" w:eastAsia="Calibri" w:hAnsi="Times New Roman" w:cs="Times New Roman"/>
        </w:rPr>
        <w:t>eering, Jordan University of Science and Technology</w:t>
      </w:r>
    </w:p>
    <w:p w14:paraId="646C397A" w14:textId="77777777" w:rsidR="00AE2411" w:rsidRPr="00AE2411" w:rsidRDefault="00AE2411" w:rsidP="00AE2411">
      <w:pPr>
        <w:spacing w:after="4" w:line="259" w:lineRule="auto"/>
        <w:ind w:left="187" w:hanging="10"/>
        <w:rPr>
          <w:rFonts w:ascii="Times New Roman" w:hAnsi="Times New Roman" w:cs="Times New Roman"/>
        </w:rPr>
      </w:pPr>
      <w:r w:rsidRPr="00AE2411">
        <w:rPr>
          <w:rFonts w:ascii="Times New Roman" w:eastAsia="Calibri" w:hAnsi="Times New Roman" w:cs="Times New Roman"/>
          <w:vertAlign w:val="superscript"/>
        </w:rPr>
        <w:t>6</w:t>
      </w:r>
      <w:r w:rsidRPr="00AE2411">
        <w:rPr>
          <w:rFonts w:ascii="Times New Roman" w:eastAsia="Calibri" w:hAnsi="Times New Roman" w:cs="Times New Roman"/>
        </w:rPr>
        <w:t>Associate Professor - Dept. of Computer Science, Universidad a</w:t>
      </w:r>
    </w:p>
    <w:p w14:paraId="26E5F6A2" w14:textId="77777777" w:rsidR="00AE2411" w:rsidRPr="00AE2411" w:rsidRDefault="00AE2411" w:rsidP="00AE2411">
      <w:pPr>
        <w:spacing w:after="406" w:line="265" w:lineRule="auto"/>
        <w:ind w:left="10" w:hanging="10"/>
        <w:jc w:val="center"/>
        <w:rPr>
          <w:rFonts w:ascii="Times New Roman" w:hAnsi="Times New Roman" w:cs="Times New Roman"/>
        </w:rPr>
      </w:pPr>
      <w:proofErr w:type="spellStart"/>
      <w:r w:rsidRPr="00AE2411">
        <w:rPr>
          <w:rFonts w:ascii="Times New Roman" w:eastAsia="Calibri" w:hAnsi="Times New Roman" w:cs="Times New Roman"/>
        </w:rPr>
        <w:t>Distancia</w:t>
      </w:r>
      <w:proofErr w:type="spellEnd"/>
      <w:r w:rsidRPr="00AE2411">
        <w:rPr>
          <w:rFonts w:ascii="Times New Roman" w:eastAsia="Calibri" w:hAnsi="Times New Roman" w:cs="Times New Roman"/>
        </w:rPr>
        <w:t xml:space="preserve"> de Madrid, UDIMA</w:t>
      </w:r>
    </w:p>
    <w:p w14:paraId="13240351" w14:textId="77777777" w:rsidR="00652E30" w:rsidRPr="00652E30" w:rsidRDefault="00652E30" w:rsidP="00652E30">
      <w:pPr>
        <w:ind w:left="360" w:hanging="360"/>
        <w:jc w:val="center"/>
        <w:rPr>
          <w:rFonts w:ascii="Times New Roman" w:hAnsi="Times New Roman" w:cs="Times New Roman"/>
          <w:b/>
          <w:sz w:val="28"/>
          <w:szCs w:val="28"/>
        </w:rPr>
      </w:pPr>
      <w:r w:rsidRPr="00652E30">
        <w:rPr>
          <w:rFonts w:ascii="Times New Roman" w:hAnsi="Times New Roman" w:cs="Times New Roman"/>
          <w:b/>
          <w:sz w:val="28"/>
          <w:szCs w:val="28"/>
        </w:rPr>
        <w:t>ABSTRACT</w:t>
      </w:r>
    </w:p>
    <w:p w14:paraId="7663AC1E" w14:textId="0DBADB1B" w:rsidR="003219B9" w:rsidRPr="00210614" w:rsidRDefault="003219B9" w:rsidP="00210614">
      <w:pPr>
        <w:jc w:val="both"/>
        <w:rPr>
          <w:rFonts w:ascii="Times New Roman" w:hAnsi="Times New Roman" w:cs="Times New Roman"/>
          <w:i/>
          <w:iCs/>
        </w:rPr>
      </w:pPr>
    </w:p>
    <w:p w14:paraId="59BF648D" w14:textId="77777777" w:rsidR="00656D6B" w:rsidRDefault="00C2402A" w:rsidP="00656D6B">
      <w:pPr>
        <w:spacing w:after="681"/>
        <w:ind w:left="-15" w:right="91"/>
        <w:jc w:val="both"/>
        <w:rPr>
          <w:rFonts w:ascii="Times New Roman" w:hAnsi="Times New Roman" w:cs="Times New Roman"/>
          <w:i/>
          <w:iCs/>
        </w:rPr>
      </w:pPr>
      <w:r w:rsidRPr="00656D6B">
        <w:rPr>
          <w:rFonts w:ascii="Times New Roman" w:hAnsi="Times New Roman" w:cs="Times New Roman"/>
          <w:i/>
          <w:iCs/>
        </w:rPr>
        <w:t>From our study, all three covid-19 vaccines have a similar proportion</w:t>
      </w:r>
      <w:r w:rsidR="00656D6B">
        <w:rPr>
          <w:rFonts w:ascii="Times New Roman" w:hAnsi="Times New Roman" w:cs="Times New Roman"/>
          <w:i/>
          <w:iCs/>
        </w:rPr>
        <w:t xml:space="preserve"> </w:t>
      </w:r>
      <w:r w:rsidRPr="00656D6B">
        <w:rPr>
          <w:rFonts w:ascii="Times New Roman" w:hAnsi="Times New Roman" w:cs="Times New Roman"/>
          <w:i/>
          <w:iCs/>
        </w:rPr>
        <w:t>of adverse reaction reports in which the patient had a history of allergies. However, the proportion of life-threatening outcomes were lower for those with the Janssen vaccine (0.62% hospitalization rate for Janssen versus 2.59% for Pfizer and 0.60% death for Janssen versus 5.15% for Moderna). In terms of specific allergies, patients with *</w:t>
      </w:r>
      <w:proofErr w:type="spellStart"/>
      <w:r w:rsidRPr="00656D6B">
        <w:rPr>
          <w:rFonts w:ascii="Times New Roman" w:hAnsi="Times New Roman" w:cs="Times New Roman"/>
          <w:i/>
          <w:iCs/>
        </w:rPr>
        <w:t>cillin</w:t>
      </w:r>
      <w:proofErr w:type="spellEnd"/>
      <w:r w:rsidRPr="00656D6B">
        <w:rPr>
          <w:rFonts w:ascii="Times New Roman" w:hAnsi="Times New Roman" w:cs="Times New Roman"/>
          <w:i/>
          <w:iCs/>
        </w:rPr>
        <w:t xml:space="preserve"> or sulfa allergies had the most adverse reactions to covid-19 vaccines, however, Janssen again had the lowest percentage of reported deaths (1.39% for *</w:t>
      </w:r>
      <w:proofErr w:type="spellStart"/>
      <w:r w:rsidRPr="00656D6B">
        <w:rPr>
          <w:rFonts w:ascii="Times New Roman" w:hAnsi="Times New Roman" w:cs="Times New Roman"/>
          <w:i/>
          <w:iCs/>
        </w:rPr>
        <w:t>cillin</w:t>
      </w:r>
      <w:proofErr w:type="spellEnd"/>
      <w:r w:rsidRPr="00656D6B">
        <w:rPr>
          <w:rFonts w:ascii="Times New Roman" w:hAnsi="Times New Roman" w:cs="Times New Roman"/>
          <w:i/>
          <w:iCs/>
        </w:rPr>
        <w:t xml:space="preserve">-related allergy deaths for Janssen versus 6.10% for Pfizer). In terms of patient age and gender, females has 2.9x the number of adverse reactions than males and a lower average age for reactions for the Pfizer and Moderna vaccines. We feel this data could be used by individuals and medical professionals </w:t>
      </w:r>
      <w:r w:rsidRPr="00656D6B">
        <w:rPr>
          <w:rFonts w:ascii="Times New Roman" w:hAnsi="Times New Roman" w:cs="Times New Roman"/>
          <w:i/>
          <w:iCs/>
        </w:rPr>
        <w:lastRenderedPageBreak/>
        <w:t>to assist in choosing a vaccine to maximize patient safety based on their allergy history, age and gender.</w:t>
      </w:r>
    </w:p>
    <w:p w14:paraId="1B69220A" w14:textId="43D19149" w:rsidR="00C2402A" w:rsidRPr="00656D6B" w:rsidRDefault="00024CFE" w:rsidP="00656D6B">
      <w:pPr>
        <w:spacing w:after="681"/>
        <w:ind w:left="-15" w:right="91"/>
        <w:jc w:val="both"/>
        <w:rPr>
          <w:rFonts w:ascii="Times New Roman" w:hAnsi="Times New Roman" w:cs="Times New Roman"/>
          <w:i/>
          <w:iCs/>
        </w:rPr>
      </w:pPr>
      <w:r w:rsidRPr="00A22E15">
        <w:rPr>
          <w:rFonts w:ascii="Times New Roman" w:hAnsi="Times New Roman" w:cs="Times New Roman"/>
          <w:b/>
          <w:iCs/>
          <w:color w:val="auto"/>
        </w:rPr>
        <w:t>Keywords</w:t>
      </w:r>
      <w:r w:rsidR="008402BB" w:rsidRPr="00A22E15">
        <w:rPr>
          <w:rFonts w:ascii="Times New Roman" w:hAnsi="Times New Roman" w:cs="Times New Roman"/>
          <w:iCs/>
        </w:rPr>
        <w:t>:</w:t>
      </w:r>
      <w:r w:rsidR="00A22E15">
        <w:rPr>
          <w:rFonts w:ascii="Times New Roman" w:hAnsi="Times New Roman" w:cs="Times New Roman"/>
          <w:iCs/>
        </w:rPr>
        <w:t xml:space="preserve"> </w:t>
      </w:r>
      <w:r w:rsidR="00C2402A" w:rsidRPr="00C2402A">
        <w:rPr>
          <w:rFonts w:ascii="Times New Roman" w:hAnsi="Times New Roman" w:cs="Times New Roman"/>
        </w:rPr>
        <w:t>VAERS, SARS-COV2, Covid-19, Allergic Reactions</w:t>
      </w:r>
    </w:p>
    <w:p w14:paraId="23E5BA34" w14:textId="6523D140" w:rsidR="00024CFE" w:rsidRDefault="00024CFE" w:rsidP="00024CFE">
      <w:pPr>
        <w:jc w:val="center"/>
        <w:rPr>
          <w:rFonts w:ascii="Times New Roman" w:hAnsi="Times New Roman" w:cs="Times New Roman"/>
          <w:b/>
          <w:sz w:val="28"/>
          <w:szCs w:val="28"/>
        </w:rPr>
      </w:pPr>
      <w:r w:rsidRPr="00024CFE">
        <w:rPr>
          <w:rFonts w:ascii="Times New Roman" w:hAnsi="Times New Roman" w:cs="Times New Roman"/>
          <w:b/>
          <w:sz w:val="28"/>
          <w:szCs w:val="28"/>
        </w:rPr>
        <w:t>INTRODUCTION</w:t>
      </w:r>
    </w:p>
    <w:p w14:paraId="2A1F8308" w14:textId="77777777" w:rsidR="00C2402A" w:rsidRDefault="00C2402A" w:rsidP="00024CFE">
      <w:pPr>
        <w:jc w:val="center"/>
        <w:rPr>
          <w:rFonts w:ascii="Times New Roman" w:hAnsi="Times New Roman" w:cs="Times New Roman"/>
          <w:b/>
          <w:sz w:val="28"/>
          <w:szCs w:val="28"/>
        </w:rPr>
      </w:pPr>
    </w:p>
    <w:p w14:paraId="2ACB550E" w14:textId="77777777" w:rsidR="00C2402A" w:rsidRPr="00C2402A" w:rsidRDefault="00C2402A" w:rsidP="00C2402A">
      <w:pPr>
        <w:ind w:left="-15" w:right="91"/>
        <w:jc w:val="both"/>
        <w:rPr>
          <w:rFonts w:ascii="Times New Roman" w:hAnsi="Times New Roman" w:cs="Times New Roman"/>
        </w:rPr>
      </w:pPr>
      <w:r w:rsidRPr="00C2402A">
        <w:rPr>
          <w:rFonts w:ascii="Times New Roman" w:hAnsi="Times New Roman" w:cs="Times New Roman"/>
        </w:rPr>
        <w:t>According to the Centers for Disease Control and Prevention (CDC), "Any health problem that happens after vaccination is considered an adverse event following immunization. An adverse event can be a true adverse reaction, also known as a side e</w:t>
      </w:r>
      <w:r w:rsidRPr="00C2402A">
        <w:rPr>
          <w:rFonts w:ascii="Times New Roman" w:eastAsia="Calibri" w:hAnsi="Times New Roman" w:cs="Times New Roman"/>
        </w:rPr>
        <w:t>ff</w:t>
      </w:r>
      <w:r w:rsidRPr="00C2402A">
        <w:rPr>
          <w:rFonts w:ascii="Times New Roman" w:hAnsi="Times New Roman" w:cs="Times New Roman"/>
        </w:rPr>
        <w:t>ect, that is related to the vaccine, or a coincidental event that happened following vaccination." (Centers for Disease Control and Prevention,</w:t>
      </w:r>
      <w:r w:rsidRPr="00C2402A">
        <w:rPr>
          <w:rFonts w:ascii="Times New Roman" w:hAnsi="Times New Roman" w:cs="Times New Roman"/>
          <w:color w:val="auto"/>
        </w:rPr>
        <w:t xml:space="preserve"> 2021</w:t>
      </w:r>
      <w:r w:rsidRPr="00C2402A">
        <w:rPr>
          <w:rFonts w:ascii="Times New Roman" w:hAnsi="Times New Roman" w:cs="Times New Roman"/>
        </w:rPr>
        <w:t>). Experts will attest that no vaccine is completely without risk, but the adverse e</w:t>
      </w:r>
      <w:r w:rsidRPr="00C2402A">
        <w:rPr>
          <w:rFonts w:ascii="Times New Roman" w:eastAsia="Calibri" w:hAnsi="Times New Roman" w:cs="Times New Roman"/>
        </w:rPr>
        <w:t>ff</w:t>
      </w:r>
      <w:r w:rsidRPr="00C2402A">
        <w:rPr>
          <w:rFonts w:ascii="Times New Roman" w:hAnsi="Times New Roman" w:cs="Times New Roman"/>
        </w:rPr>
        <w:t>ects known to be caused by vaccines are usually short-lived and resolve on their own or are treatable/reversible.</w:t>
      </w:r>
    </w:p>
    <w:p w14:paraId="558AC0E4" w14:textId="77777777" w:rsidR="00C2402A" w:rsidRPr="00C2402A" w:rsidRDefault="00C2402A" w:rsidP="00C2402A">
      <w:pPr>
        <w:ind w:left="-15" w:right="91"/>
        <w:jc w:val="both"/>
        <w:rPr>
          <w:rFonts w:ascii="Times New Roman" w:hAnsi="Times New Roman" w:cs="Times New Roman"/>
        </w:rPr>
      </w:pPr>
      <w:r w:rsidRPr="00C2402A">
        <w:rPr>
          <w:rFonts w:ascii="Times New Roman" w:hAnsi="Times New Roman" w:cs="Times New Roman"/>
        </w:rPr>
        <w:t>Common adverse e</w:t>
      </w:r>
      <w:r w:rsidRPr="00C2402A">
        <w:rPr>
          <w:rFonts w:ascii="Times New Roman" w:eastAsia="Calibri" w:hAnsi="Times New Roman" w:cs="Times New Roman"/>
        </w:rPr>
        <w:t>ff</w:t>
      </w:r>
      <w:r w:rsidRPr="00C2402A">
        <w:rPr>
          <w:rFonts w:ascii="Times New Roman" w:hAnsi="Times New Roman" w:cs="Times New Roman"/>
        </w:rPr>
        <w:t>ects may be observed where the vaccine injection was delivered and may include pain, redness, and swelling. Systemic e</w:t>
      </w:r>
      <w:r w:rsidRPr="00C2402A">
        <w:rPr>
          <w:rFonts w:ascii="Times New Roman" w:eastAsia="Calibri" w:hAnsi="Times New Roman" w:cs="Times New Roman"/>
        </w:rPr>
        <w:t>ff</w:t>
      </w:r>
      <w:r w:rsidRPr="00C2402A">
        <w:rPr>
          <w:rFonts w:ascii="Times New Roman" w:hAnsi="Times New Roman" w:cs="Times New Roman"/>
        </w:rPr>
        <w:t>ects may include tiredness, headache, muscle pain, chills, fever, nausea, and malaise. Other serious e</w:t>
      </w:r>
      <w:r w:rsidRPr="00C2402A">
        <w:rPr>
          <w:rFonts w:ascii="Times New Roman" w:eastAsia="Calibri" w:hAnsi="Times New Roman" w:cs="Times New Roman"/>
        </w:rPr>
        <w:t>ff</w:t>
      </w:r>
      <w:r w:rsidRPr="00C2402A">
        <w:rPr>
          <w:rFonts w:ascii="Times New Roman" w:hAnsi="Times New Roman" w:cs="Times New Roman"/>
        </w:rPr>
        <w:t>ects such as swollen lymph nodes (lymphadenopathy), diarrhea and vomiting have also been reported (Mayo Clinic</w:t>
      </w:r>
      <w:r w:rsidRPr="00C2402A">
        <w:rPr>
          <w:rFonts w:ascii="Times New Roman" w:hAnsi="Times New Roman" w:cs="Times New Roman"/>
          <w:color w:val="auto"/>
        </w:rPr>
        <w:t>, 2021).</w:t>
      </w:r>
    </w:p>
    <w:p w14:paraId="5F6D3FEF" w14:textId="77777777" w:rsidR="00F86844" w:rsidRDefault="00C2402A" w:rsidP="00C2402A">
      <w:pPr>
        <w:ind w:left="-15" w:right="91"/>
        <w:jc w:val="both"/>
        <w:rPr>
          <w:rFonts w:ascii="Times New Roman" w:hAnsi="Times New Roman" w:cs="Times New Roman"/>
        </w:rPr>
      </w:pPr>
      <w:r w:rsidRPr="00C2402A">
        <w:rPr>
          <w:rFonts w:ascii="Times New Roman" w:hAnsi="Times New Roman" w:cs="Times New Roman"/>
        </w:rPr>
        <w:t xml:space="preserve">The purpose of this manuscript is to explore the relationship between patients with known allergies to reported adverse reactions with coronavirus vaccines. </w:t>
      </w:r>
    </w:p>
    <w:p w14:paraId="4716DD9E" w14:textId="78AEA7EE" w:rsidR="00C2402A" w:rsidRPr="00C2402A" w:rsidRDefault="00C2402A" w:rsidP="00C2402A">
      <w:pPr>
        <w:ind w:left="-15" w:right="91"/>
        <w:jc w:val="both"/>
        <w:rPr>
          <w:rFonts w:ascii="Times New Roman" w:hAnsi="Times New Roman" w:cs="Times New Roman"/>
        </w:rPr>
      </w:pPr>
      <w:r w:rsidRPr="00C2402A">
        <w:rPr>
          <w:rFonts w:ascii="Times New Roman" w:hAnsi="Times New Roman" w:cs="Times New Roman"/>
        </w:rPr>
        <w:t>In particular we examine the most common food, drug and environmental allergies co-occurring with coronavirus vaccine adverse reactions to determine if any relationship exists. We then investigate specific patient demographic information such as age and gender to determine any statistical connection to coronavirus vaccine adverse reactions.</w:t>
      </w:r>
    </w:p>
    <w:p w14:paraId="39CD9798" w14:textId="77777777" w:rsidR="00C2402A" w:rsidRDefault="00C2402A" w:rsidP="00C2402A">
      <w:pPr>
        <w:spacing w:after="679"/>
        <w:ind w:left="-15" w:right="91"/>
        <w:jc w:val="both"/>
        <w:rPr>
          <w:rFonts w:ascii="Times New Roman" w:hAnsi="Times New Roman" w:cs="Times New Roman"/>
        </w:rPr>
      </w:pPr>
      <w:r w:rsidRPr="00C2402A">
        <w:rPr>
          <w:rFonts w:ascii="Times New Roman" w:hAnsi="Times New Roman" w:cs="Times New Roman"/>
        </w:rPr>
        <w:t xml:space="preserve">The rest of this manuscript is organized as follows. Section 2 contains the literature review that focuses on allergies, covid-19 vaccines, the Vaccine Adverse Reporting System (VAERS) and known covid-19 vaccine allergies. </w:t>
      </w:r>
    </w:p>
    <w:p w14:paraId="5340DABA" w14:textId="27511BF7" w:rsidR="00C2402A" w:rsidRDefault="00C2402A" w:rsidP="00C2402A">
      <w:pPr>
        <w:spacing w:after="679"/>
        <w:ind w:left="-15" w:right="91"/>
        <w:jc w:val="both"/>
        <w:rPr>
          <w:rFonts w:ascii="Times New Roman" w:hAnsi="Times New Roman" w:cs="Times New Roman"/>
        </w:rPr>
      </w:pPr>
      <w:r w:rsidRPr="00C2402A">
        <w:rPr>
          <w:rFonts w:ascii="Times New Roman" w:hAnsi="Times New Roman" w:cs="Times New Roman"/>
        </w:rPr>
        <w:t>Section 3 is our research questions. Section 4 is the system design including VAERS data, ETL and data cleaning. Section 5 is the experimental design. Section 6 provides the experimental results and discussion. Finally, Section 7 delivers the conclusions, limitations and future directions.</w:t>
      </w:r>
    </w:p>
    <w:p w14:paraId="5AA0A5F5" w14:textId="2134D7E9" w:rsidR="00F86844" w:rsidRDefault="00F86844" w:rsidP="00F86844">
      <w:pPr>
        <w:pStyle w:val="Heading1"/>
        <w:ind w:left="458" w:hanging="473"/>
        <w:jc w:val="center"/>
        <w:rPr>
          <w:rFonts w:ascii="Times New Roman" w:hAnsi="Times New Roman" w:cs="Times New Roman"/>
          <w:b/>
          <w:bCs/>
          <w:color w:val="auto"/>
          <w:sz w:val="28"/>
          <w:szCs w:val="28"/>
        </w:rPr>
      </w:pPr>
      <w:r w:rsidRPr="00F86844">
        <w:rPr>
          <w:rFonts w:ascii="Times New Roman" w:hAnsi="Times New Roman" w:cs="Times New Roman"/>
          <w:b/>
          <w:bCs/>
          <w:color w:val="auto"/>
          <w:sz w:val="28"/>
          <w:szCs w:val="28"/>
        </w:rPr>
        <w:lastRenderedPageBreak/>
        <w:t xml:space="preserve">LITERATURE REVIEW </w:t>
      </w:r>
    </w:p>
    <w:p w14:paraId="034BBC59" w14:textId="77777777" w:rsidR="00F86844" w:rsidRPr="00F86844" w:rsidRDefault="00F86844" w:rsidP="00F86844"/>
    <w:p w14:paraId="488BB838" w14:textId="77777777" w:rsidR="00B70CAE" w:rsidRDefault="00F86844" w:rsidP="005B0B09">
      <w:pPr>
        <w:spacing w:after="576"/>
        <w:ind w:left="-17" w:right="91"/>
        <w:jc w:val="both"/>
        <w:rPr>
          <w:rFonts w:ascii="Times New Roman" w:hAnsi="Times New Roman" w:cs="Times New Roman"/>
        </w:rPr>
      </w:pPr>
      <w:r w:rsidRPr="00F86844">
        <w:rPr>
          <w:rFonts w:ascii="Times New Roman" w:hAnsi="Times New Roman" w:cs="Times New Roman"/>
        </w:rPr>
        <w:t>To address these challenges we investigate the relevant literature on allergies, covid-19 vaccines, a system for reporting vaccine adverse e</w:t>
      </w:r>
      <w:r w:rsidRPr="00F86844">
        <w:rPr>
          <w:rFonts w:ascii="Times New Roman" w:eastAsia="Calibri" w:hAnsi="Times New Roman" w:cs="Times New Roman"/>
        </w:rPr>
        <w:t>ff</w:t>
      </w:r>
      <w:r w:rsidRPr="00F86844">
        <w:rPr>
          <w:rFonts w:ascii="Times New Roman" w:hAnsi="Times New Roman" w:cs="Times New Roman"/>
        </w:rPr>
        <w:t>ects and known allergies</w:t>
      </w:r>
      <w:r w:rsidR="005B0B09">
        <w:rPr>
          <w:rFonts w:ascii="Times New Roman" w:hAnsi="Times New Roman" w:cs="Times New Roman"/>
        </w:rPr>
        <w:t xml:space="preserve"> </w:t>
      </w:r>
      <w:r w:rsidRPr="00F86844">
        <w:rPr>
          <w:rFonts w:ascii="Times New Roman" w:hAnsi="Times New Roman" w:cs="Times New Roman"/>
        </w:rPr>
        <w:t>to covid-19vaccines.</w:t>
      </w:r>
      <w:r w:rsidR="00B70CAE">
        <w:rPr>
          <w:rFonts w:ascii="Times New Roman" w:hAnsi="Times New Roman" w:cs="Times New Roman"/>
        </w:rPr>
        <w:t xml:space="preserve"> </w:t>
      </w:r>
      <w:r w:rsidRPr="00F86844">
        <w:rPr>
          <w:rFonts w:ascii="Times New Roman" w:hAnsi="Times New Roman" w:cs="Times New Roman"/>
        </w:rPr>
        <w:t>We then present the research gaps that have motivated</w:t>
      </w:r>
      <w:r w:rsidR="005B0B09">
        <w:rPr>
          <w:rFonts w:ascii="Times New Roman" w:hAnsi="Times New Roman" w:cs="Times New Roman"/>
        </w:rPr>
        <w:t xml:space="preserve"> </w:t>
      </w:r>
      <w:r w:rsidRPr="00F86844">
        <w:rPr>
          <w:rFonts w:ascii="Times New Roman" w:hAnsi="Times New Roman" w:cs="Times New Roman"/>
        </w:rPr>
        <w:t>this investigation.</w:t>
      </w:r>
    </w:p>
    <w:p w14:paraId="4A487810" w14:textId="7D823B21" w:rsidR="00E023A7" w:rsidRPr="005B0B09" w:rsidRDefault="00E023A7" w:rsidP="005B0B09">
      <w:pPr>
        <w:spacing w:after="576"/>
        <w:ind w:left="-17" w:right="91"/>
        <w:jc w:val="both"/>
        <w:rPr>
          <w:rFonts w:ascii="Times New Roman" w:hAnsi="Times New Roman" w:cs="Times New Roman"/>
        </w:rPr>
      </w:pPr>
      <w:r w:rsidRPr="00E023A7">
        <w:rPr>
          <w:rFonts w:ascii="Times New Roman" w:hAnsi="Times New Roman" w:cs="Times New Roman"/>
          <w:b/>
          <w:bCs/>
          <w:i/>
          <w:iCs/>
          <w:color w:val="auto"/>
        </w:rPr>
        <w:t>Allergies</w:t>
      </w:r>
      <w:r w:rsidR="005B0B09">
        <w:rPr>
          <w:rFonts w:ascii="Times New Roman" w:hAnsi="Times New Roman" w:cs="Times New Roman"/>
          <w:b/>
          <w:bCs/>
          <w:i/>
          <w:iCs/>
          <w:color w:val="auto"/>
        </w:rPr>
        <w:br/>
      </w:r>
      <w:r>
        <w:rPr>
          <w:rFonts w:ascii="Times New Roman" w:hAnsi="Times New Roman" w:cs="Times New Roman"/>
          <w:b/>
          <w:bCs/>
          <w:i/>
          <w:iCs/>
          <w:color w:val="auto"/>
        </w:rPr>
        <w:br/>
      </w:r>
      <w:r w:rsidRPr="00E023A7">
        <w:rPr>
          <w:rFonts w:ascii="Times New Roman" w:hAnsi="Times New Roman" w:cs="Times New Roman"/>
        </w:rPr>
        <w:t xml:space="preserve">The term allergy is used to refer to an organism’s immune response to a certain substance that is generally harmless for other individuals, that can cause a series of symptoms in said organism. An allergy tends to manifest itself as a temporary allergic reaction that is visible as a series of highly varied symptoms which manifest as skin problems, (eczema, erythema, pruritus, etc.) bronchial problems (bronchospasm), problems of the nasal mucus, eyes (conjunctivitis), the digestive tract (diarrhea or vomiting) and even other organs of the body. It may also lead to allergic diseases such as asthma, rhinitis or urticaria, to mention a few. In the most severe cases, it may produce anaphylactic shock, a severe and </w:t>
      </w:r>
      <w:proofErr w:type="spellStart"/>
      <w:r w:rsidRPr="00E023A7">
        <w:rPr>
          <w:rFonts w:ascii="Times New Roman" w:hAnsi="Times New Roman" w:cs="Times New Roman"/>
        </w:rPr>
        <w:t>generalised</w:t>
      </w:r>
      <w:proofErr w:type="spellEnd"/>
      <w:r w:rsidRPr="00E023A7">
        <w:rPr>
          <w:rFonts w:ascii="Times New Roman" w:hAnsi="Times New Roman" w:cs="Times New Roman"/>
        </w:rPr>
        <w:t xml:space="preserve"> allergic reaction that may even cause the patient’s death (Brown &amp; Turner, </w:t>
      </w:r>
      <w:r w:rsidRPr="00E023A7">
        <w:rPr>
          <w:rFonts w:ascii="Times New Roman" w:hAnsi="Times New Roman" w:cs="Times New Roman"/>
          <w:color w:val="auto"/>
        </w:rPr>
        <w:t>2015).</w:t>
      </w:r>
      <w:r w:rsidRPr="00E023A7">
        <w:rPr>
          <w:rFonts w:ascii="Times New Roman" w:hAnsi="Times New Roman" w:cs="Times New Roman"/>
        </w:rPr>
        <w:t>There are di</w:t>
      </w:r>
      <w:r w:rsidRPr="00E023A7">
        <w:rPr>
          <w:rFonts w:ascii="Times New Roman" w:eastAsia="Calibri" w:hAnsi="Times New Roman" w:cs="Times New Roman"/>
        </w:rPr>
        <w:t>ff</w:t>
      </w:r>
      <w:r w:rsidRPr="00E023A7">
        <w:rPr>
          <w:rFonts w:ascii="Times New Roman" w:hAnsi="Times New Roman" w:cs="Times New Roman"/>
        </w:rPr>
        <w:t xml:space="preserve">erent mechanisms for the diagnosis of allergies, ranging from skin tests, blood tests or genetic studies. With regard to treatment, current medical practice is based on four fundamental pillars, which are patient education, allergen avoidance, pharmacological intervention, and immunotherapy (Levin, </w:t>
      </w:r>
      <w:r w:rsidRPr="00E023A7">
        <w:rPr>
          <w:rFonts w:ascii="Times New Roman" w:hAnsi="Times New Roman" w:cs="Times New Roman"/>
          <w:color w:val="auto"/>
        </w:rPr>
        <w:t>2018</w:t>
      </w:r>
      <w:r w:rsidRPr="00E023A7">
        <w:rPr>
          <w:rFonts w:ascii="Times New Roman" w:hAnsi="Times New Roman" w:cs="Times New Roman"/>
        </w:rPr>
        <w:t>).</w:t>
      </w:r>
      <w:r>
        <w:rPr>
          <w:rFonts w:ascii="Times New Roman" w:hAnsi="Times New Roman" w:cs="Times New Roman"/>
        </w:rPr>
        <w:t xml:space="preserve"> </w:t>
      </w:r>
      <w:r w:rsidRPr="00E023A7">
        <w:rPr>
          <w:rFonts w:ascii="Times New Roman" w:hAnsi="Times New Roman" w:cs="Times New Roman"/>
        </w:rPr>
        <w:t xml:space="preserve">Allergies may be classified in multiple ways, although this work focuses more on the type of substance that causes the allergy. In this connection, it is worth highlighting three types of allergies: those caused by foods such as eggs or milk; those caused by medicines such as antibiotics or </w:t>
      </w:r>
      <w:proofErr w:type="spellStart"/>
      <w:r w:rsidRPr="00E023A7">
        <w:rPr>
          <w:rFonts w:ascii="Times New Roman" w:hAnsi="Times New Roman" w:cs="Times New Roman"/>
        </w:rPr>
        <w:t>anaesthetics</w:t>
      </w:r>
      <w:proofErr w:type="spellEnd"/>
      <w:r w:rsidRPr="00E023A7">
        <w:rPr>
          <w:rFonts w:ascii="Times New Roman" w:hAnsi="Times New Roman" w:cs="Times New Roman"/>
        </w:rPr>
        <w:t>; or those caused by environmental agents such as dust mites or pollen. In general, the di</w:t>
      </w:r>
      <w:r w:rsidRPr="00E023A7">
        <w:rPr>
          <w:rFonts w:ascii="Times New Roman" w:eastAsia="Calibri" w:hAnsi="Times New Roman" w:cs="Times New Roman"/>
        </w:rPr>
        <w:t>ff</w:t>
      </w:r>
      <w:r w:rsidRPr="00E023A7">
        <w:rPr>
          <w:rFonts w:ascii="Times New Roman" w:hAnsi="Times New Roman" w:cs="Times New Roman"/>
        </w:rPr>
        <w:t xml:space="preserve">erent studies conducted point to a slow increase in the prevalence of allergies among the world’s population, mainly those caused by food and especially in Western nations </w:t>
      </w:r>
      <w:r>
        <w:rPr>
          <w:rFonts w:ascii="Times New Roman" w:hAnsi="Times New Roman" w:cs="Times New Roman"/>
        </w:rPr>
        <w:br/>
      </w:r>
      <w:r w:rsidRPr="00E023A7">
        <w:rPr>
          <w:rFonts w:ascii="Times New Roman" w:hAnsi="Times New Roman" w:cs="Times New Roman"/>
        </w:rPr>
        <w:t xml:space="preserve">(Tang &amp; Mullins, </w:t>
      </w:r>
      <w:r w:rsidRPr="00E023A7">
        <w:rPr>
          <w:rFonts w:ascii="Times New Roman" w:hAnsi="Times New Roman" w:cs="Times New Roman"/>
          <w:color w:val="auto"/>
        </w:rPr>
        <w:t>2017</w:t>
      </w:r>
      <w:r w:rsidRPr="00E023A7">
        <w:rPr>
          <w:rFonts w:ascii="Times New Roman" w:hAnsi="Times New Roman" w:cs="Times New Roman"/>
        </w:rPr>
        <w:t>).</w:t>
      </w:r>
    </w:p>
    <w:p w14:paraId="5BADD601" w14:textId="4FE2165A" w:rsidR="00E023A7" w:rsidRPr="00E023A7" w:rsidRDefault="00E023A7" w:rsidP="00E023A7">
      <w:pPr>
        <w:pStyle w:val="Heading2"/>
        <w:ind w:left="598" w:hanging="613"/>
        <w:rPr>
          <w:rFonts w:ascii="Times New Roman" w:hAnsi="Times New Roman" w:cs="Times New Roman"/>
          <w:b/>
          <w:bCs/>
          <w:i/>
          <w:iCs/>
          <w:color w:val="auto"/>
          <w:sz w:val="24"/>
          <w:szCs w:val="24"/>
        </w:rPr>
      </w:pPr>
      <w:r w:rsidRPr="00E023A7">
        <w:rPr>
          <w:rFonts w:ascii="Times New Roman" w:hAnsi="Times New Roman" w:cs="Times New Roman"/>
          <w:b/>
          <w:bCs/>
          <w:i/>
          <w:iCs/>
          <w:color w:val="auto"/>
          <w:sz w:val="24"/>
          <w:szCs w:val="24"/>
        </w:rPr>
        <w:t>Covid-19 Vaccines</w:t>
      </w:r>
      <w:r w:rsidR="005B0B09">
        <w:rPr>
          <w:rFonts w:ascii="Times New Roman" w:hAnsi="Times New Roman" w:cs="Times New Roman"/>
          <w:b/>
          <w:bCs/>
          <w:i/>
          <w:iCs/>
          <w:color w:val="auto"/>
          <w:sz w:val="24"/>
          <w:szCs w:val="24"/>
        </w:rPr>
        <w:br/>
      </w:r>
    </w:p>
    <w:p w14:paraId="00E0F9E6" w14:textId="77777777" w:rsidR="005B0B09" w:rsidRPr="005B0B09" w:rsidRDefault="005B0B09" w:rsidP="005B0B09">
      <w:pPr>
        <w:ind w:left="-15" w:right="91"/>
        <w:jc w:val="both"/>
        <w:rPr>
          <w:rFonts w:ascii="Times New Roman" w:hAnsi="Times New Roman" w:cs="Times New Roman"/>
        </w:rPr>
      </w:pPr>
      <w:r w:rsidRPr="005B0B09">
        <w:rPr>
          <w:rFonts w:ascii="Times New Roman" w:hAnsi="Times New Roman" w:cs="Times New Roman"/>
        </w:rPr>
        <w:t>A vaccine is a drug product that stimulates the immune system o</w:t>
      </w:r>
      <w:r w:rsidRPr="005B0B09">
        <w:rPr>
          <w:rFonts w:ascii="Times New Roman" w:eastAsia="Calibri" w:hAnsi="Times New Roman" w:cs="Times New Roman"/>
        </w:rPr>
        <w:t>ff</w:t>
      </w:r>
      <w:r w:rsidRPr="005B0B09">
        <w:rPr>
          <w:rFonts w:ascii="Times New Roman" w:hAnsi="Times New Roman" w:cs="Times New Roman"/>
        </w:rPr>
        <w:t xml:space="preserve">ering protection from an infectious disease and vaccination is the act of introducing a vaccine into the body. An individual who is immune to a disease because they have been vaccinated cannot get that disease and cannot spread it to others. In other words, if </w:t>
      </w:r>
      <w:r w:rsidRPr="005B0B09">
        <w:rPr>
          <w:rFonts w:ascii="Times New Roman" w:hAnsi="Times New Roman" w:cs="Times New Roman"/>
        </w:rPr>
        <w:lastRenderedPageBreak/>
        <w:t>an individual is immune to a disease, they can be exposed to it without becoming infected.</w:t>
      </w:r>
    </w:p>
    <w:p w14:paraId="51DF9ADC" w14:textId="77777777" w:rsidR="005B0B09" w:rsidRPr="005B0B09" w:rsidRDefault="005B0B09" w:rsidP="005B0B09">
      <w:pPr>
        <w:ind w:left="-15" w:right="91"/>
        <w:jc w:val="both"/>
        <w:rPr>
          <w:rFonts w:ascii="Times New Roman" w:hAnsi="Times New Roman" w:cs="Times New Roman"/>
        </w:rPr>
      </w:pPr>
      <w:r w:rsidRPr="005B0B09">
        <w:rPr>
          <w:rFonts w:ascii="Times New Roman" w:hAnsi="Times New Roman" w:cs="Times New Roman"/>
        </w:rPr>
        <w:t>Covid-19 is known to be caused by a virus known as SARS-CoV-2 coronavirus (</w:t>
      </w:r>
      <w:proofErr w:type="spellStart"/>
      <w:r w:rsidRPr="005B0B09">
        <w:rPr>
          <w:rFonts w:ascii="Times New Roman" w:hAnsi="Times New Roman" w:cs="Times New Roman"/>
        </w:rPr>
        <w:t>Veronin</w:t>
      </w:r>
      <w:proofErr w:type="spellEnd"/>
      <w:r w:rsidRPr="005B0B09">
        <w:rPr>
          <w:rFonts w:ascii="Times New Roman" w:hAnsi="Times New Roman" w:cs="Times New Roman"/>
        </w:rPr>
        <w:t xml:space="preserve"> et al</w:t>
      </w:r>
      <w:r w:rsidRPr="005B0B09">
        <w:rPr>
          <w:rFonts w:ascii="Times New Roman" w:hAnsi="Times New Roman" w:cs="Times New Roman"/>
          <w:color w:val="auto"/>
        </w:rPr>
        <w:t>., 2021</w:t>
      </w:r>
      <w:r w:rsidRPr="005B0B09">
        <w:rPr>
          <w:rFonts w:ascii="Times New Roman" w:hAnsi="Times New Roman" w:cs="Times New Roman"/>
        </w:rPr>
        <w:t>). Prior to the development of vaccines to prevent covid-19, the most e</w:t>
      </w:r>
      <w:r w:rsidRPr="005B0B09">
        <w:rPr>
          <w:rFonts w:ascii="Times New Roman" w:eastAsia="Calibri" w:hAnsi="Times New Roman" w:cs="Times New Roman"/>
        </w:rPr>
        <w:t>ff</w:t>
      </w:r>
      <w:r w:rsidRPr="005B0B09">
        <w:rPr>
          <w:rFonts w:ascii="Times New Roman" w:hAnsi="Times New Roman" w:cs="Times New Roman"/>
        </w:rPr>
        <w:t>ective way to prevent illness was to avoid exposure to the virus. To date, three covid-19 vaccines are authorized by the U.S. Food and Drug Administration (FDA) for emergency use: Pfizer/</w:t>
      </w:r>
      <w:proofErr w:type="spellStart"/>
      <w:r w:rsidRPr="005B0B09">
        <w:rPr>
          <w:rFonts w:ascii="Times New Roman" w:hAnsi="Times New Roman" w:cs="Times New Roman"/>
        </w:rPr>
        <w:t>BioNtech</w:t>
      </w:r>
      <w:proofErr w:type="spellEnd"/>
      <w:r w:rsidRPr="005B0B09">
        <w:rPr>
          <w:rFonts w:ascii="Times New Roman" w:hAnsi="Times New Roman" w:cs="Times New Roman"/>
        </w:rPr>
        <w:t xml:space="preserve">, </w:t>
      </w:r>
      <w:proofErr w:type="spellStart"/>
      <w:r w:rsidRPr="005B0B09">
        <w:rPr>
          <w:rFonts w:ascii="Times New Roman" w:hAnsi="Times New Roman" w:cs="Times New Roman"/>
        </w:rPr>
        <w:t>Moderna</w:t>
      </w:r>
      <w:proofErr w:type="spellEnd"/>
      <w:r w:rsidRPr="005B0B09">
        <w:rPr>
          <w:rFonts w:ascii="Times New Roman" w:hAnsi="Times New Roman" w:cs="Times New Roman"/>
        </w:rPr>
        <w:t>, and Janssen (produced by Johnson and Johnson). Additional vaccines may receive authorization in 2021.</w:t>
      </w:r>
    </w:p>
    <w:p w14:paraId="0A44CD82" w14:textId="77777777" w:rsidR="005B0B09" w:rsidRPr="005B0B09" w:rsidRDefault="005B0B09" w:rsidP="005B0B09">
      <w:pPr>
        <w:ind w:left="-15" w:right="91"/>
        <w:jc w:val="both"/>
        <w:rPr>
          <w:rFonts w:ascii="Times New Roman" w:hAnsi="Times New Roman" w:cs="Times New Roman"/>
        </w:rPr>
      </w:pPr>
      <w:r w:rsidRPr="005B0B09">
        <w:rPr>
          <w:rFonts w:ascii="Times New Roman" w:hAnsi="Times New Roman" w:cs="Times New Roman"/>
        </w:rPr>
        <w:t>An Emergency Use Authorization (EUA) allows the FDA to make medical products available immediately. The EUA process di</w:t>
      </w:r>
      <w:r w:rsidRPr="005B0B09">
        <w:rPr>
          <w:rFonts w:ascii="Times New Roman" w:eastAsia="Calibri" w:hAnsi="Times New Roman" w:cs="Times New Roman"/>
        </w:rPr>
        <w:t>ff</w:t>
      </w:r>
      <w:r w:rsidRPr="005B0B09">
        <w:rPr>
          <w:rFonts w:ascii="Times New Roman" w:hAnsi="Times New Roman" w:cs="Times New Roman"/>
        </w:rPr>
        <w:t>ers from an established FDA approval or clearance. Under an EUA the FDA makes a medical product, such as a vaccine, available to the public based on the best available evidence, forgoing all of the evidence necessary for o</w:t>
      </w:r>
      <w:r w:rsidRPr="005B0B09">
        <w:rPr>
          <w:rFonts w:ascii="Times New Roman" w:eastAsia="Calibri" w:hAnsi="Times New Roman" w:cs="Times New Roman"/>
        </w:rPr>
        <w:t>ffi</w:t>
      </w:r>
      <w:r w:rsidRPr="005B0B09">
        <w:rPr>
          <w:rFonts w:ascii="Times New Roman" w:hAnsi="Times New Roman" w:cs="Times New Roman"/>
        </w:rPr>
        <w:t>cial FDA approval or clearance. When evaluating an EUA, medical experts carefully balance the potential risks and benefits of the products based on the available data.</w:t>
      </w:r>
    </w:p>
    <w:p w14:paraId="0C8C9C2B" w14:textId="77777777" w:rsidR="005B0B09" w:rsidRPr="005B0B09" w:rsidRDefault="005B0B09" w:rsidP="005B0B09">
      <w:pPr>
        <w:ind w:left="-15" w:right="91"/>
        <w:jc w:val="both"/>
        <w:rPr>
          <w:rFonts w:ascii="Times New Roman" w:hAnsi="Times New Roman" w:cs="Times New Roman"/>
        </w:rPr>
      </w:pPr>
      <w:r w:rsidRPr="005B0B09">
        <w:rPr>
          <w:rFonts w:ascii="Times New Roman" w:hAnsi="Times New Roman" w:cs="Times New Roman"/>
        </w:rPr>
        <w:t>On December 11, 2020 the FDA issued an EUA for the Pfizer-BioNTech covid-19 vaccine for individuals 16 years of age and older. On May 10, 2021 the FDA expanded the EUA to include adolescents 12-15 years of age.</w:t>
      </w:r>
    </w:p>
    <w:p w14:paraId="094FC9FB" w14:textId="77777777" w:rsidR="005B0B09" w:rsidRPr="005B0B09" w:rsidRDefault="005B0B09" w:rsidP="005B0B09">
      <w:pPr>
        <w:ind w:left="-15" w:right="91"/>
        <w:jc w:val="both"/>
        <w:rPr>
          <w:rFonts w:ascii="Times New Roman" w:hAnsi="Times New Roman" w:cs="Times New Roman"/>
        </w:rPr>
      </w:pPr>
      <w:r w:rsidRPr="005B0B09">
        <w:rPr>
          <w:rFonts w:ascii="Times New Roman" w:hAnsi="Times New Roman" w:cs="Times New Roman"/>
        </w:rPr>
        <w:t>The Pfizer-BioNTech covid-19 vaccine is a messenger RNA (mRNA) type, which uses a relatively new innovative formulation technology. Unlike attenuated vaccines that introduce a weakened or inactivated virus into the body, the Pfizer-BioNTech mRNA vaccine delivers a tiny piece of genetic code from the SARS CoV-2 virus to host cells in the body, essentially giving those cells instructions, or blueprints, for making copies of the protein spikes protruding from the coronavirus. These proteins stimulate an immune response by producing antibodies and developing memory cells that provide protection if the body is infected with the actual virus.</w:t>
      </w:r>
    </w:p>
    <w:p w14:paraId="55046A0A" w14:textId="77777777" w:rsidR="005B0B09" w:rsidRPr="005B0B09" w:rsidRDefault="005B0B09" w:rsidP="005B0B09">
      <w:pPr>
        <w:ind w:left="-15" w:right="91"/>
        <w:jc w:val="both"/>
        <w:rPr>
          <w:rFonts w:ascii="Times New Roman" w:hAnsi="Times New Roman" w:cs="Times New Roman"/>
        </w:rPr>
      </w:pPr>
      <w:r w:rsidRPr="005B0B09">
        <w:rPr>
          <w:rFonts w:ascii="Times New Roman" w:hAnsi="Times New Roman" w:cs="Times New Roman"/>
        </w:rPr>
        <w:t xml:space="preserve">On December 18, 2020 a second vaccine for prevention of covid-19, manufactured by </w:t>
      </w:r>
      <w:proofErr w:type="spellStart"/>
      <w:r w:rsidRPr="005B0B09">
        <w:rPr>
          <w:rFonts w:ascii="Times New Roman" w:hAnsi="Times New Roman" w:cs="Times New Roman"/>
        </w:rPr>
        <w:t>ModernaTX</w:t>
      </w:r>
      <w:proofErr w:type="spellEnd"/>
      <w:r w:rsidRPr="005B0B09">
        <w:rPr>
          <w:rFonts w:ascii="Times New Roman" w:hAnsi="Times New Roman" w:cs="Times New Roman"/>
        </w:rPr>
        <w:t>, Inc, was authorized for emergency use by individuals 18 years of age and older. Moderna is also an mRNA vaccine using the same technology as Pfizer-BioNTech.</w:t>
      </w:r>
    </w:p>
    <w:p w14:paraId="2564E2E4" w14:textId="77777777" w:rsidR="005B0B09" w:rsidRPr="005B0B09" w:rsidRDefault="005B0B09" w:rsidP="005B0B09">
      <w:pPr>
        <w:spacing w:line="244" w:lineRule="auto"/>
        <w:ind w:left="-15"/>
        <w:jc w:val="both"/>
        <w:rPr>
          <w:rFonts w:ascii="Times New Roman" w:hAnsi="Times New Roman" w:cs="Times New Roman"/>
        </w:rPr>
      </w:pPr>
      <w:r w:rsidRPr="005B0B09">
        <w:rPr>
          <w:rFonts w:ascii="Times New Roman" w:hAnsi="Times New Roman" w:cs="Times New Roman"/>
        </w:rPr>
        <w:t>On February 27, 2021 the FDA issued an EUA for a third vaccine manufactured by Janssen Biotech Inc, a subsidiary of Johnson and Johnson, for individuals 18 years of age and older.</w:t>
      </w:r>
    </w:p>
    <w:p w14:paraId="2A6115D4" w14:textId="77777777" w:rsidR="005B0B09" w:rsidRPr="005B0B09" w:rsidRDefault="005B0B09" w:rsidP="005B0B09">
      <w:pPr>
        <w:ind w:left="-15" w:right="91"/>
        <w:jc w:val="both"/>
        <w:rPr>
          <w:rFonts w:ascii="Times New Roman" w:hAnsi="Times New Roman" w:cs="Times New Roman"/>
        </w:rPr>
      </w:pPr>
      <w:r w:rsidRPr="005B0B09">
        <w:rPr>
          <w:rFonts w:ascii="Times New Roman" w:hAnsi="Times New Roman" w:cs="Times New Roman"/>
        </w:rPr>
        <w:t>The Janssen covid-19 vaccine is known as a carrier vaccine, or viral vector vaccine which uses a di</w:t>
      </w:r>
      <w:r w:rsidRPr="005B0B09">
        <w:rPr>
          <w:rFonts w:ascii="Times New Roman" w:eastAsia="Calibri" w:hAnsi="Times New Roman" w:cs="Times New Roman"/>
        </w:rPr>
        <w:t>ff</w:t>
      </w:r>
      <w:r w:rsidRPr="005B0B09">
        <w:rPr>
          <w:rFonts w:ascii="Times New Roman" w:hAnsi="Times New Roman" w:cs="Times New Roman"/>
        </w:rPr>
        <w:t>erent approach than mRNA vaccines. Viral vector vaccines use a modified version of a di</w:t>
      </w:r>
      <w:r w:rsidRPr="005B0B09">
        <w:rPr>
          <w:rFonts w:ascii="Times New Roman" w:eastAsia="Calibri" w:hAnsi="Times New Roman" w:cs="Times New Roman"/>
        </w:rPr>
        <w:t>ff</w:t>
      </w:r>
      <w:r w:rsidRPr="005B0B09">
        <w:rPr>
          <w:rFonts w:ascii="Times New Roman" w:hAnsi="Times New Roman" w:cs="Times New Roman"/>
        </w:rPr>
        <w:t>erent virus, such as an adenovirus (the vector) to instruct human cells to make the SARS CoV-2 virus spike protein, stimulating an immune response that provides protection if the body is infected with the actual virus.</w:t>
      </w:r>
    </w:p>
    <w:p w14:paraId="698F270D" w14:textId="77777777" w:rsidR="005B0B09" w:rsidRPr="005B0B09" w:rsidRDefault="005B0B09" w:rsidP="005B0B09">
      <w:pPr>
        <w:ind w:left="-15" w:right="91"/>
        <w:jc w:val="both"/>
        <w:rPr>
          <w:rFonts w:ascii="Times New Roman" w:hAnsi="Times New Roman" w:cs="Times New Roman"/>
        </w:rPr>
      </w:pPr>
      <w:r w:rsidRPr="005B0B09">
        <w:rPr>
          <w:rFonts w:ascii="Times New Roman" w:hAnsi="Times New Roman" w:cs="Times New Roman"/>
        </w:rPr>
        <w:lastRenderedPageBreak/>
        <w:t xml:space="preserve">In early April 2021 the CDC and FDA issued a joint recommendation for states to pause the use of the Janssen covid-19 vaccine due to a rare, potentially serious, blood clotting disorder among women ages 18 to 48, occurring 6-13 days after vaccination. On April 23, 2021, the FDA ended its recommended pause on the vaccine and added a warning label about the blood clotting disorder which cleared the way to resume vaccinations. On July 12, 2021 the FDA announced a warning of increased risk for </w:t>
      </w:r>
      <w:proofErr w:type="spellStart"/>
      <w:r w:rsidRPr="005B0B09">
        <w:rPr>
          <w:rFonts w:ascii="Times New Roman" w:hAnsi="Times New Roman" w:cs="Times New Roman"/>
        </w:rPr>
        <w:t>GuillainBarré</w:t>
      </w:r>
      <w:proofErr w:type="spellEnd"/>
      <w:r w:rsidRPr="005B0B09">
        <w:rPr>
          <w:rFonts w:ascii="Times New Roman" w:hAnsi="Times New Roman" w:cs="Times New Roman"/>
        </w:rPr>
        <w:t xml:space="preserve"> syndrome, a progressively damaging neurological disorder that can lead to paralysis or death for males 50 years of age or older that can occur within 14 days of vaccination (Rendall,</w:t>
      </w:r>
      <w:r w:rsidRPr="005B0B09">
        <w:rPr>
          <w:rFonts w:ascii="Times New Roman" w:hAnsi="Times New Roman" w:cs="Times New Roman"/>
          <w:color w:val="auto"/>
        </w:rPr>
        <w:t xml:space="preserve"> 2021</w:t>
      </w:r>
      <w:r w:rsidRPr="005B0B09">
        <w:rPr>
          <w:rFonts w:ascii="Times New Roman" w:hAnsi="Times New Roman" w:cs="Times New Roman"/>
        </w:rPr>
        <w:t>).</w:t>
      </w:r>
    </w:p>
    <w:p w14:paraId="521D720F" w14:textId="77777777" w:rsidR="00B70CAE" w:rsidRDefault="005B0B09" w:rsidP="00703F39">
      <w:pPr>
        <w:ind w:left="-15" w:right="91"/>
        <w:jc w:val="both"/>
        <w:rPr>
          <w:rFonts w:ascii="Times New Roman" w:hAnsi="Times New Roman" w:cs="Times New Roman"/>
        </w:rPr>
      </w:pPr>
      <w:r w:rsidRPr="005B0B09">
        <w:rPr>
          <w:rFonts w:ascii="Times New Roman" w:hAnsi="Times New Roman" w:cs="Times New Roman"/>
        </w:rPr>
        <w:t>Given these specific age/gender combinations reacting adversely to coronavirus vaccines, having accurate records of vaccine adverse reactions can help medical professionals make informed vaccine-related decisions.</w:t>
      </w:r>
    </w:p>
    <w:p w14:paraId="75C2A77B" w14:textId="4EAD8DB4" w:rsidR="00703F39" w:rsidRPr="00703F39" w:rsidRDefault="005B0B09" w:rsidP="00703F39">
      <w:pPr>
        <w:ind w:left="-15" w:right="91"/>
        <w:jc w:val="both"/>
        <w:rPr>
          <w:rFonts w:ascii="Times New Roman" w:hAnsi="Times New Roman" w:cs="Times New Roman"/>
        </w:rPr>
      </w:pPr>
      <w:r>
        <w:rPr>
          <w:rFonts w:ascii="Times New Roman" w:hAnsi="Times New Roman" w:cs="Times New Roman"/>
        </w:rPr>
        <w:br/>
      </w:r>
      <w:r w:rsidRPr="005B0B09">
        <w:rPr>
          <w:rFonts w:ascii="Times New Roman" w:hAnsi="Times New Roman" w:cs="Times New Roman"/>
          <w:b/>
          <w:bCs/>
          <w:i/>
          <w:iCs/>
          <w:color w:val="auto"/>
        </w:rPr>
        <w:t>VAERS</w:t>
      </w:r>
      <w:r>
        <w:rPr>
          <w:b/>
          <w:bCs/>
          <w:i/>
          <w:iCs/>
          <w:color w:val="auto"/>
        </w:rPr>
        <w:br/>
      </w:r>
      <w:r>
        <w:rPr>
          <w:b/>
          <w:bCs/>
          <w:i/>
          <w:iCs/>
          <w:color w:val="auto"/>
        </w:rPr>
        <w:br/>
      </w:r>
      <w:r w:rsidR="00703F39" w:rsidRPr="00703F39">
        <w:rPr>
          <w:rFonts w:ascii="Times New Roman" w:hAnsi="Times New Roman" w:cs="Times New Roman"/>
        </w:rPr>
        <w:t xml:space="preserve">The Vaccine Adverse Event Reporting System (VAERS) is one of the largest government databases and is comprised of adverse event reports following vaccination (Singleton et al., </w:t>
      </w:r>
      <w:r w:rsidR="00703F39" w:rsidRPr="00703F39">
        <w:rPr>
          <w:rFonts w:ascii="Times New Roman" w:hAnsi="Times New Roman" w:cs="Times New Roman"/>
          <w:color w:val="auto"/>
        </w:rPr>
        <w:t>1999</w:t>
      </w:r>
      <w:r w:rsidR="00703F39" w:rsidRPr="00703F39">
        <w:rPr>
          <w:rFonts w:ascii="Times New Roman" w:hAnsi="Times New Roman" w:cs="Times New Roman"/>
        </w:rPr>
        <w:t>). Established in 1990, VAERS functions as a warning system to detect potential safety issues associated with vaccines. Anyone can submit a report to VAERS and reports have come from a variety of sources: healthcare professionals, health departments, vaccine manufacturers, and vaccine recipients (patients and family members) if they experience any adverse events after receiving a vaccine.</w:t>
      </w:r>
    </w:p>
    <w:p w14:paraId="47A019D0" w14:textId="77777777" w:rsidR="00703F39" w:rsidRPr="00703F39" w:rsidRDefault="00703F39" w:rsidP="00703F39">
      <w:pPr>
        <w:ind w:left="-15" w:right="91"/>
        <w:jc w:val="both"/>
        <w:rPr>
          <w:rFonts w:ascii="Times New Roman" w:hAnsi="Times New Roman" w:cs="Times New Roman"/>
        </w:rPr>
      </w:pPr>
      <w:r w:rsidRPr="00703F39">
        <w:rPr>
          <w:rFonts w:ascii="Times New Roman" w:hAnsi="Times New Roman" w:cs="Times New Roman"/>
        </w:rPr>
        <w:t xml:space="preserve">VAERS is co-administered by two agencies within the U.S. Department of Health and Human Services (HHS); the Centers for Disease Control and Prevention (CDC) and the U.S. Food and Drug Administration (FDA). The CDC and the FDA analyze reports of adverse events that monitor health problems that may occur following vaccination (Varricchio et al., </w:t>
      </w:r>
      <w:r w:rsidRPr="00703F39">
        <w:rPr>
          <w:rFonts w:ascii="Times New Roman" w:hAnsi="Times New Roman" w:cs="Times New Roman"/>
          <w:color w:val="auto"/>
        </w:rPr>
        <w:t>2004</w:t>
      </w:r>
      <w:r w:rsidRPr="00703F39">
        <w:rPr>
          <w:rFonts w:ascii="Times New Roman" w:hAnsi="Times New Roman" w:cs="Times New Roman"/>
        </w:rPr>
        <w:t>).</w:t>
      </w:r>
    </w:p>
    <w:p w14:paraId="7C3014E3" w14:textId="77777777" w:rsidR="00703F39" w:rsidRDefault="00703F39" w:rsidP="00703F39">
      <w:pPr>
        <w:ind w:left="-15" w:right="91"/>
        <w:jc w:val="both"/>
        <w:rPr>
          <w:rFonts w:ascii="Times New Roman" w:hAnsi="Times New Roman" w:cs="Times New Roman"/>
        </w:rPr>
      </w:pPr>
      <w:r w:rsidRPr="00703F39">
        <w:rPr>
          <w:rFonts w:ascii="Times New Roman" w:hAnsi="Times New Roman" w:cs="Times New Roman"/>
        </w:rPr>
        <w:t xml:space="preserve">While reports to VAERS are voluntary, healthcare providers are strongly encouraged to report any additional clinically significant adverse events following vaccination, even if they are not sure if vaccination caused the event. However, under certain conditions, healthcare providers are required by law to report to VAERS after vaccination. Conditions include: 1) </w:t>
      </w:r>
    </w:p>
    <w:p w14:paraId="5F291E64" w14:textId="77777777" w:rsidR="00703F39" w:rsidRDefault="00703F39" w:rsidP="00703F39">
      <w:pPr>
        <w:ind w:left="-15" w:right="91"/>
        <w:jc w:val="both"/>
        <w:rPr>
          <w:rFonts w:ascii="Times New Roman" w:hAnsi="Times New Roman" w:cs="Times New Roman"/>
        </w:rPr>
      </w:pPr>
      <w:r w:rsidRPr="00703F39">
        <w:rPr>
          <w:rFonts w:ascii="Times New Roman" w:hAnsi="Times New Roman" w:cs="Times New Roman"/>
        </w:rPr>
        <w:t xml:space="preserve">Vaccine administration errors, whether or not associated with an adverse event (AE), 2) </w:t>
      </w:r>
    </w:p>
    <w:p w14:paraId="640B0B6A" w14:textId="5B9E3376" w:rsidR="00703F39" w:rsidRPr="00703F39" w:rsidRDefault="00703F39" w:rsidP="00703F39">
      <w:pPr>
        <w:ind w:left="-15" w:right="91"/>
        <w:jc w:val="both"/>
        <w:rPr>
          <w:rFonts w:ascii="Times New Roman" w:hAnsi="Times New Roman" w:cs="Times New Roman"/>
        </w:rPr>
      </w:pPr>
      <w:r w:rsidRPr="00703F39">
        <w:rPr>
          <w:rFonts w:ascii="Times New Roman" w:hAnsi="Times New Roman" w:cs="Times New Roman"/>
        </w:rPr>
        <w:t>Serious AEs as defined by the FDA regardless of causality, which includes: death, life-threatening, inpatient hospitalization or prolongation of existing hospitalization, or any pre-specified event that occurs within a certain period after vaccination.</w:t>
      </w:r>
    </w:p>
    <w:p w14:paraId="3C34FE24" w14:textId="77777777" w:rsidR="00703F39" w:rsidRDefault="00703F39" w:rsidP="00703F39">
      <w:pPr>
        <w:spacing w:after="306"/>
        <w:ind w:left="-15" w:right="91"/>
        <w:jc w:val="both"/>
        <w:rPr>
          <w:rFonts w:ascii="Times New Roman" w:hAnsi="Times New Roman" w:cs="Times New Roman"/>
        </w:rPr>
      </w:pPr>
      <w:r w:rsidRPr="00703F39">
        <w:rPr>
          <w:rFonts w:ascii="Times New Roman" w:hAnsi="Times New Roman" w:cs="Times New Roman"/>
        </w:rPr>
        <w:t xml:space="preserve">According to the CDC, the number of VAERS reports submitted varies each year. During 2011-2014, VAERS averaged around 30,000 reports annually, with 7% </w:t>
      </w:r>
      <w:r w:rsidRPr="00703F39">
        <w:rPr>
          <w:rFonts w:ascii="Times New Roman" w:hAnsi="Times New Roman" w:cs="Times New Roman"/>
        </w:rPr>
        <w:lastRenderedPageBreak/>
        <w:t xml:space="preserve">classified as serious (Shimabukuro et al., </w:t>
      </w:r>
      <w:r w:rsidRPr="00703F39">
        <w:rPr>
          <w:rFonts w:ascii="Times New Roman" w:hAnsi="Times New Roman" w:cs="Times New Roman"/>
          <w:color w:val="auto"/>
        </w:rPr>
        <w:t xml:space="preserve">2015). </w:t>
      </w:r>
      <w:r w:rsidRPr="00703F39">
        <w:rPr>
          <w:rFonts w:ascii="Times New Roman" w:hAnsi="Times New Roman" w:cs="Times New Roman"/>
        </w:rPr>
        <w:t>In 2019 VAERS received over 48,000 reports. About 85-90% of the reports described mild side e</w:t>
      </w:r>
      <w:r w:rsidRPr="00703F39">
        <w:rPr>
          <w:rFonts w:ascii="Times New Roman" w:eastAsia="Calibri" w:hAnsi="Times New Roman" w:cs="Times New Roman"/>
        </w:rPr>
        <w:t>ff</w:t>
      </w:r>
      <w:r w:rsidRPr="00703F39">
        <w:rPr>
          <w:rFonts w:ascii="Times New Roman" w:hAnsi="Times New Roman" w:cs="Times New Roman"/>
        </w:rPr>
        <w:t>ects such as fever, arm soreness, or mild irritability. The remaining reports are classified as serious, which means that the reported AE resulted in permanent disability, hospitalization, prolongation of an existing hospitalization, life-threatening illness, congenital deformity/birth defect or death. According to the CDC these events can happen after vaccination, but are rarely caused by the vaccine.</w:t>
      </w:r>
    </w:p>
    <w:p w14:paraId="1CC42C4F" w14:textId="23B04432" w:rsidR="00703F39" w:rsidRPr="00703F39" w:rsidRDefault="00703F39" w:rsidP="00703F39">
      <w:pPr>
        <w:spacing w:after="306"/>
        <w:ind w:left="-15" w:right="91"/>
        <w:jc w:val="both"/>
        <w:rPr>
          <w:rFonts w:ascii="Times New Roman" w:hAnsi="Times New Roman" w:cs="Times New Roman"/>
          <w:b/>
          <w:bCs/>
          <w:i/>
          <w:iCs/>
        </w:rPr>
      </w:pPr>
      <w:r w:rsidRPr="00703F39">
        <w:rPr>
          <w:rFonts w:ascii="Times New Roman" w:hAnsi="Times New Roman" w:cs="Times New Roman"/>
          <w:b/>
          <w:bCs/>
          <w:i/>
          <w:iCs/>
        </w:rPr>
        <w:t>Known Covid-19 Vaccine Allergies</w:t>
      </w:r>
    </w:p>
    <w:p w14:paraId="182BB06E" w14:textId="77777777" w:rsidR="00703F39" w:rsidRPr="00703F39" w:rsidRDefault="00703F39" w:rsidP="00703F39">
      <w:pPr>
        <w:ind w:left="-15" w:right="91"/>
        <w:jc w:val="both"/>
        <w:rPr>
          <w:rFonts w:ascii="Times New Roman" w:hAnsi="Times New Roman" w:cs="Times New Roman"/>
        </w:rPr>
      </w:pPr>
      <w:r w:rsidRPr="00703F39">
        <w:rPr>
          <w:rFonts w:ascii="Times New Roman" w:hAnsi="Times New Roman" w:cs="Times New Roman"/>
        </w:rPr>
        <w:t>In addition to adverse e</w:t>
      </w:r>
      <w:r w:rsidRPr="00703F39">
        <w:rPr>
          <w:rFonts w:ascii="Times New Roman" w:eastAsia="Calibri" w:hAnsi="Times New Roman" w:cs="Times New Roman"/>
        </w:rPr>
        <w:t>ff</w:t>
      </w:r>
      <w:r w:rsidRPr="00703F39">
        <w:rPr>
          <w:rFonts w:ascii="Times New Roman" w:hAnsi="Times New Roman" w:cs="Times New Roman"/>
        </w:rPr>
        <w:t>ects in general, allergic reactions have been documented and may be categorized as non-severe or severe. Non-severe allergic reactions include by pale or reddened irregular, elevated patches and severe itching (urticaria or hives), swelling or wheezing within 4 hours of the vaccine. Severe allergic reactions to the vaccine are rare and may occur within 15 minutes of getting vaccinated. Most have occurred in people with a history of allergies and who had previously experienced a severe and potentially life-threatening allergic reaction known as anaphylaxis. Signs and symptoms of anaphylaxis include a sensation of tightness in the throat which may cause the throat to close, or trouble breathing.</w:t>
      </w:r>
    </w:p>
    <w:p w14:paraId="5F1C396F" w14:textId="77777777" w:rsidR="00703F39" w:rsidRPr="00703F39" w:rsidRDefault="00703F39" w:rsidP="00703F39">
      <w:pPr>
        <w:ind w:left="-15"/>
        <w:jc w:val="both"/>
        <w:rPr>
          <w:rFonts w:ascii="Times New Roman" w:hAnsi="Times New Roman" w:cs="Times New Roman"/>
        </w:rPr>
      </w:pPr>
      <w:r w:rsidRPr="00703F39">
        <w:rPr>
          <w:rFonts w:ascii="Times New Roman" w:hAnsi="Times New Roman" w:cs="Times New Roman"/>
        </w:rPr>
        <w:t>Other rare occurrences reported after covid-19 vaccination include blood clots in younger women (thrombosis with thrombocytopenia syndrome (TTS)) after Janssen injections. In addition, researchers are investigating the link between cases of inflammation of the heart, known as myocarditis and pericarditis in adolescents and young adults, occurring after mRNA vaccination.</w:t>
      </w:r>
    </w:p>
    <w:p w14:paraId="58D4507B" w14:textId="77777777" w:rsidR="00703F39" w:rsidRPr="00703F39" w:rsidRDefault="00703F39" w:rsidP="00703F39">
      <w:pPr>
        <w:spacing w:line="244" w:lineRule="auto"/>
        <w:ind w:left="-15"/>
        <w:jc w:val="both"/>
        <w:rPr>
          <w:rFonts w:ascii="Times New Roman" w:hAnsi="Times New Roman" w:cs="Times New Roman"/>
        </w:rPr>
      </w:pPr>
      <w:r w:rsidRPr="00703F39">
        <w:rPr>
          <w:rFonts w:ascii="Times New Roman" w:hAnsi="Times New Roman" w:cs="Times New Roman"/>
        </w:rPr>
        <w:t>A vaccine component known as polyethylene glycol (PEG) has been associated with anaphylaxis. Currently, PEG is found in the mRNA vaccines from Pfizer and Moderna. The Janssen vaccine does not contain PEG, however, it contains polysorbate, which is known to cross-react with PEG. This means that if an individual is sensitive to PEG, they may also be sensitive to polysorbate.</w:t>
      </w:r>
    </w:p>
    <w:p w14:paraId="4364347A" w14:textId="77777777" w:rsidR="00B70CAE" w:rsidRDefault="00703F39" w:rsidP="00B70CAE">
      <w:pPr>
        <w:spacing w:after="577"/>
        <w:ind w:left="-15" w:right="91"/>
        <w:jc w:val="both"/>
        <w:rPr>
          <w:rFonts w:ascii="Times New Roman" w:hAnsi="Times New Roman" w:cs="Times New Roman"/>
        </w:rPr>
      </w:pPr>
      <w:r w:rsidRPr="00703F39">
        <w:rPr>
          <w:rFonts w:ascii="Times New Roman" w:hAnsi="Times New Roman" w:cs="Times New Roman"/>
        </w:rPr>
        <w:t>Given the hundreds of millions of vaccine doses administered, reports of AEs following vaccination, including deaths, are considered rare and do not necessarily mean that the vaccine directly caused the problem. Since covid19 vaccines are relatively new, scientists and clinicians have more questions than answers about the occurrence of allergic reactions.</w:t>
      </w:r>
      <w:r w:rsidR="00B70CAE">
        <w:rPr>
          <w:rFonts w:ascii="Times New Roman" w:hAnsi="Times New Roman" w:cs="Times New Roman"/>
        </w:rPr>
        <w:t xml:space="preserve"> </w:t>
      </w:r>
      <w:r w:rsidRPr="00703F39">
        <w:rPr>
          <w:rFonts w:ascii="Times New Roman" w:hAnsi="Times New Roman" w:cs="Times New Roman"/>
        </w:rPr>
        <w:t>Research is ongoing to determine which patients, particularly those with prior vaccine allergies, may be at greater risk of adverse reactions to covid-19 vaccines.</w:t>
      </w:r>
    </w:p>
    <w:p w14:paraId="678EE7DA" w14:textId="6690283A" w:rsidR="00A87758" w:rsidRPr="00B70CAE" w:rsidRDefault="00703F39" w:rsidP="00B70CAE">
      <w:pPr>
        <w:spacing w:after="577"/>
        <w:ind w:left="-15" w:right="91"/>
        <w:jc w:val="both"/>
        <w:rPr>
          <w:rFonts w:ascii="Times New Roman" w:hAnsi="Times New Roman" w:cs="Times New Roman"/>
        </w:rPr>
      </w:pPr>
      <w:r>
        <w:rPr>
          <w:rFonts w:ascii="Times New Roman" w:hAnsi="Times New Roman" w:cs="Times New Roman"/>
        </w:rPr>
        <w:br/>
      </w:r>
    </w:p>
    <w:p w14:paraId="791462BE" w14:textId="77777777" w:rsidR="00003DE3" w:rsidRDefault="00703F39" w:rsidP="00003DE3">
      <w:pPr>
        <w:ind w:left="-17" w:right="91"/>
        <w:rPr>
          <w:rFonts w:ascii="Times New Roman" w:hAnsi="Times New Roman" w:cs="Times New Roman"/>
        </w:rPr>
      </w:pPr>
      <w:r w:rsidRPr="00703F39">
        <w:rPr>
          <w:rFonts w:ascii="Times New Roman" w:hAnsi="Times New Roman" w:cs="Times New Roman"/>
          <w:b/>
          <w:bCs/>
          <w:i/>
          <w:iCs/>
        </w:rPr>
        <w:lastRenderedPageBreak/>
        <w:t>Research</w:t>
      </w:r>
      <w:r w:rsidR="00003DE3">
        <w:rPr>
          <w:rFonts w:ascii="Times New Roman" w:hAnsi="Times New Roman" w:cs="Times New Roman"/>
          <w:b/>
          <w:bCs/>
          <w:i/>
          <w:iCs/>
        </w:rPr>
        <w:t xml:space="preserve"> </w:t>
      </w:r>
      <w:r w:rsidRPr="00703F39">
        <w:rPr>
          <w:rFonts w:ascii="Times New Roman" w:hAnsi="Times New Roman" w:cs="Times New Roman"/>
          <w:b/>
          <w:bCs/>
          <w:i/>
          <w:iCs/>
        </w:rPr>
        <w:t>Gaps</w:t>
      </w:r>
      <w:r w:rsidR="00A87758">
        <w:rPr>
          <w:rFonts w:ascii="Times New Roman" w:hAnsi="Times New Roman" w:cs="Times New Roman"/>
          <w:b/>
          <w:bCs/>
          <w:i/>
          <w:iCs/>
        </w:rPr>
        <w:br/>
      </w:r>
    </w:p>
    <w:p w14:paraId="035970DE" w14:textId="4FFD9F40" w:rsidR="009376EE" w:rsidRDefault="00A87758" w:rsidP="009376EE">
      <w:pPr>
        <w:ind w:left="-17" w:right="91"/>
        <w:jc w:val="both"/>
        <w:rPr>
          <w:rFonts w:ascii="Times New Roman" w:hAnsi="Times New Roman" w:cs="Times New Roman"/>
        </w:rPr>
      </w:pPr>
      <w:r w:rsidRPr="00A87758">
        <w:rPr>
          <w:rFonts w:ascii="Times New Roman" w:hAnsi="Times New Roman" w:cs="Times New Roman"/>
        </w:rPr>
        <w:t>From this review, there are no studies that specifically examine patient allergies and their relationship to coronavirus vaccine adverse e</w:t>
      </w:r>
      <w:r w:rsidRPr="00A87758">
        <w:rPr>
          <w:rFonts w:ascii="Times New Roman" w:eastAsia="Calibri" w:hAnsi="Times New Roman" w:cs="Times New Roman"/>
        </w:rPr>
        <w:t>ff</w:t>
      </w:r>
      <w:r w:rsidRPr="00A87758">
        <w:rPr>
          <w:rFonts w:ascii="Times New Roman" w:hAnsi="Times New Roman" w:cs="Times New Roman"/>
        </w:rPr>
        <w:t>ects. Most studies have focused on specific disease states resulting from a vaccine. Using historical patient data, medical professionals can improve vaccine recommendations based on specific patient factors.</w:t>
      </w:r>
    </w:p>
    <w:p w14:paraId="4FD337E9" w14:textId="77777777" w:rsidR="00EE2B22" w:rsidRDefault="00EE2B22" w:rsidP="009376EE">
      <w:pPr>
        <w:ind w:left="-17" w:right="91"/>
        <w:jc w:val="both"/>
        <w:rPr>
          <w:rFonts w:ascii="Times New Roman" w:hAnsi="Times New Roman" w:cs="Times New Roman"/>
        </w:rPr>
      </w:pPr>
    </w:p>
    <w:p w14:paraId="07D695C8" w14:textId="77777777" w:rsidR="009376EE" w:rsidRDefault="009376EE" w:rsidP="009376EE">
      <w:pPr>
        <w:ind w:left="-17" w:right="91"/>
        <w:jc w:val="both"/>
        <w:rPr>
          <w:rFonts w:ascii="Times New Roman" w:hAnsi="Times New Roman" w:cs="Times New Roman"/>
        </w:rPr>
      </w:pPr>
    </w:p>
    <w:p w14:paraId="6323EF49" w14:textId="58E86E9F" w:rsidR="009376EE" w:rsidRPr="00EE2B22" w:rsidRDefault="009376EE" w:rsidP="009376EE">
      <w:pPr>
        <w:ind w:left="-17" w:right="91"/>
        <w:jc w:val="center"/>
        <w:rPr>
          <w:rFonts w:ascii="Times New Roman" w:hAnsi="Times New Roman" w:cs="Times New Roman"/>
          <w:b/>
          <w:bCs/>
          <w:sz w:val="28"/>
          <w:szCs w:val="28"/>
        </w:rPr>
      </w:pPr>
      <w:r w:rsidRPr="00EE2B22">
        <w:rPr>
          <w:rFonts w:ascii="Times New Roman" w:hAnsi="Times New Roman" w:cs="Times New Roman"/>
          <w:b/>
          <w:bCs/>
          <w:sz w:val="28"/>
          <w:szCs w:val="28"/>
        </w:rPr>
        <w:t>RESEARCH QUESTIONS</w:t>
      </w:r>
      <w:r w:rsidR="00253449" w:rsidRPr="00EE2B22">
        <w:rPr>
          <w:rFonts w:ascii="Times New Roman" w:hAnsi="Times New Roman" w:cs="Times New Roman"/>
          <w:b/>
          <w:bCs/>
          <w:sz w:val="28"/>
          <w:szCs w:val="28"/>
        </w:rPr>
        <w:br/>
      </w:r>
    </w:p>
    <w:p w14:paraId="7B3A8DB6" w14:textId="77777777" w:rsidR="00253449" w:rsidRPr="00253449" w:rsidRDefault="00253449" w:rsidP="00253449">
      <w:pPr>
        <w:spacing w:line="244" w:lineRule="auto"/>
        <w:ind w:left="-5" w:hanging="10"/>
        <w:jc w:val="both"/>
        <w:rPr>
          <w:rFonts w:ascii="Times New Roman" w:hAnsi="Times New Roman" w:cs="Times New Roman"/>
          <w:b/>
          <w:bCs/>
        </w:rPr>
      </w:pPr>
      <w:r w:rsidRPr="00253449">
        <w:rPr>
          <w:rFonts w:ascii="Times New Roman" w:eastAsia="Calibri" w:hAnsi="Times New Roman" w:cs="Times New Roman"/>
          <w:b/>
          <w:bCs/>
          <w:i/>
        </w:rPr>
        <w:t>Which covid-19 vaccine is associated with the fewest reported adverse reactions?</w:t>
      </w:r>
    </w:p>
    <w:p w14:paraId="105B8937" w14:textId="13788A5E" w:rsidR="00253449" w:rsidRDefault="00253449" w:rsidP="00253449">
      <w:pPr>
        <w:ind w:left="-15" w:right="91"/>
        <w:jc w:val="both"/>
        <w:rPr>
          <w:rFonts w:ascii="Times New Roman" w:eastAsia="Calibri" w:hAnsi="Times New Roman" w:cs="Times New Roman"/>
          <w:i/>
        </w:rPr>
      </w:pPr>
      <w:r w:rsidRPr="00253449">
        <w:rPr>
          <w:rFonts w:ascii="Times New Roman" w:hAnsi="Times New Roman" w:cs="Times New Roman"/>
        </w:rPr>
        <w:t xml:space="preserve">Adverse reactions can occur with just about any vaccine. Analyzing the impacts of covid-19 vaccines can help the public make informed decisions. </w:t>
      </w:r>
      <w:r w:rsidRPr="00253449">
        <w:rPr>
          <w:rFonts w:ascii="Times New Roman" w:eastAsia="Calibri" w:hAnsi="Times New Roman" w:cs="Times New Roman"/>
          <w:i/>
        </w:rPr>
        <w:t>Which allergens are most associated with patient deaths for the covid-19 vaccines?</w:t>
      </w:r>
    </w:p>
    <w:p w14:paraId="1260F212" w14:textId="77777777" w:rsidR="00253449" w:rsidRPr="00253449" w:rsidRDefault="00253449" w:rsidP="00253449">
      <w:pPr>
        <w:ind w:left="-15" w:right="91"/>
        <w:jc w:val="both"/>
        <w:rPr>
          <w:rFonts w:ascii="Times New Roman" w:hAnsi="Times New Roman" w:cs="Times New Roman"/>
        </w:rPr>
      </w:pPr>
    </w:p>
    <w:p w14:paraId="22ABAD78" w14:textId="2C335FAD" w:rsidR="00253449" w:rsidRDefault="00253449" w:rsidP="00253449">
      <w:pPr>
        <w:ind w:left="-15" w:right="91"/>
        <w:jc w:val="both"/>
        <w:rPr>
          <w:rFonts w:ascii="Times New Roman" w:hAnsi="Times New Roman" w:cs="Times New Roman"/>
        </w:rPr>
      </w:pPr>
      <w:r w:rsidRPr="00253449">
        <w:rPr>
          <w:rFonts w:ascii="Times New Roman" w:hAnsi="Times New Roman" w:cs="Times New Roman"/>
        </w:rPr>
        <w:t>For patients with certain allergies, which allergens are observed most often and which vaccines are associated with these adverse e</w:t>
      </w:r>
      <w:r w:rsidRPr="00253449">
        <w:rPr>
          <w:rFonts w:ascii="Times New Roman" w:eastAsia="Calibri" w:hAnsi="Times New Roman" w:cs="Times New Roman"/>
        </w:rPr>
        <w:t>ff</w:t>
      </w:r>
      <w:r w:rsidRPr="00253449">
        <w:rPr>
          <w:rFonts w:ascii="Times New Roman" w:hAnsi="Times New Roman" w:cs="Times New Roman"/>
        </w:rPr>
        <w:t>ects. Answering this question can help guide patients to selecting vaccines least likely to cause significant adverse e</w:t>
      </w:r>
      <w:r w:rsidRPr="00253449">
        <w:rPr>
          <w:rFonts w:ascii="Times New Roman" w:eastAsia="Calibri" w:hAnsi="Times New Roman" w:cs="Times New Roman"/>
        </w:rPr>
        <w:t>ff</w:t>
      </w:r>
      <w:r w:rsidRPr="00253449">
        <w:rPr>
          <w:rFonts w:ascii="Times New Roman" w:hAnsi="Times New Roman" w:cs="Times New Roman"/>
        </w:rPr>
        <w:t>ects.</w:t>
      </w:r>
    </w:p>
    <w:p w14:paraId="49EA4018" w14:textId="77777777" w:rsidR="00253449" w:rsidRPr="00253449" w:rsidRDefault="00253449" w:rsidP="00253449">
      <w:pPr>
        <w:ind w:left="-15" w:right="91"/>
        <w:jc w:val="both"/>
        <w:rPr>
          <w:rFonts w:ascii="Times New Roman" w:hAnsi="Times New Roman" w:cs="Times New Roman"/>
        </w:rPr>
      </w:pPr>
    </w:p>
    <w:p w14:paraId="2F2A87B2" w14:textId="29023385" w:rsidR="00253449" w:rsidRDefault="00253449" w:rsidP="00253449">
      <w:pPr>
        <w:spacing w:line="244" w:lineRule="auto"/>
        <w:ind w:left="-5" w:hanging="10"/>
        <w:jc w:val="both"/>
        <w:rPr>
          <w:rFonts w:ascii="Times New Roman" w:eastAsia="Calibri" w:hAnsi="Times New Roman" w:cs="Times New Roman"/>
          <w:b/>
          <w:bCs/>
          <w:i/>
        </w:rPr>
      </w:pPr>
      <w:r w:rsidRPr="00253449">
        <w:rPr>
          <w:rFonts w:ascii="Times New Roman" w:eastAsia="Calibri" w:hAnsi="Times New Roman" w:cs="Times New Roman"/>
          <w:b/>
          <w:bCs/>
          <w:i/>
        </w:rPr>
        <w:t>Are there patient demographic differences w.r.t. to the covid-19 vaccines and allergic reactions?</w:t>
      </w:r>
    </w:p>
    <w:p w14:paraId="547F2F16" w14:textId="77777777" w:rsidR="001434DB" w:rsidRPr="00253449" w:rsidRDefault="001434DB" w:rsidP="00253449">
      <w:pPr>
        <w:spacing w:line="244" w:lineRule="auto"/>
        <w:ind w:left="-5" w:hanging="10"/>
        <w:jc w:val="both"/>
        <w:rPr>
          <w:rFonts w:ascii="Times New Roman" w:hAnsi="Times New Roman" w:cs="Times New Roman"/>
          <w:b/>
          <w:bCs/>
        </w:rPr>
      </w:pPr>
    </w:p>
    <w:p w14:paraId="7F91C113" w14:textId="763E0C60" w:rsidR="001434DB" w:rsidRDefault="00253449" w:rsidP="001434DB">
      <w:pPr>
        <w:spacing w:after="240"/>
        <w:ind w:right="91"/>
        <w:rPr>
          <w:rFonts w:ascii="Times New Roman" w:hAnsi="Times New Roman" w:cs="Times New Roman"/>
        </w:rPr>
      </w:pPr>
      <w:r w:rsidRPr="00253449">
        <w:rPr>
          <w:rFonts w:ascii="Times New Roman" w:hAnsi="Times New Roman" w:cs="Times New Roman"/>
        </w:rPr>
        <w:t>How does age and gender a</w:t>
      </w:r>
      <w:r w:rsidRPr="00253449">
        <w:rPr>
          <w:rFonts w:ascii="Times New Roman" w:eastAsia="Calibri" w:hAnsi="Times New Roman" w:cs="Times New Roman"/>
        </w:rPr>
        <w:t>ff</w:t>
      </w:r>
      <w:r w:rsidRPr="00253449">
        <w:rPr>
          <w:rFonts w:ascii="Times New Roman" w:hAnsi="Times New Roman" w:cs="Times New Roman"/>
        </w:rPr>
        <w:t>ect vaccine adverse e</w:t>
      </w:r>
      <w:r w:rsidRPr="00253449">
        <w:rPr>
          <w:rFonts w:ascii="Times New Roman" w:eastAsia="Calibri" w:hAnsi="Times New Roman" w:cs="Times New Roman"/>
        </w:rPr>
        <w:t>ff</w:t>
      </w:r>
      <w:r w:rsidRPr="00253449">
        <w:rPr>
          <w:rFonts w:ascii="Times New Roman" w:hAnsi="Times New Roman" w:cs="Times New Roman"/>
        </w:rPr>
        <w:t>ects? We analyze the three</w:t>
      </w:r>
      <w:r w:rsidR="00B70CAE">
        <w:rPr>
          <w:rFonts w:ascii="Times New Roman" w:hAnsi="Times New Roman" w:cs="Times New Roman"/>
        </w:rPr>
        <w:t xml:space="preserve"> </w:t>
      </w:r>
      <w:r w:rsidRPr="00253449">
        <w:rPr>
          <w:rFonts w:ascii="Times New Roman" w:hAnsi="Times New Roman" w:cs="Times New Roman"/>
        </w:rPr>
        <w:t>vaccines according to patient age and gender for life-threatening reactions. Answering this question can help providers to best recommend a vaccine to patients.</w:t>
      </w:r>
    </w:p>
    <w:p w14:paraId="3B9BE695" w14:textId="77777777" w:rsidR="001434DB" w:rsidRDefault="001434DB">
      <w:pPr>
        <w:spacing w:after="160" w:line="259" w:lineRule="auto"/>
        <w:rPr>
          <w:rFonts w:ascii="Times New Roman" w:hAnsi="Times New Roman" w:cs="Times New Roman"/>
        </w:rPr>
      </w:pPr>
      <w:r>
        <w:rPr>
          <w:rFonts w:ascii="Times New Roman" w:hAnsi="Times New Roman" w:cs="Times New Roman"/>
        </w:rPr>
        <w:br w:type="page"/>
      </w:r>
    </w:p>
    <w:p w14:paraId="20E64AD5" w14:textId="7B72EAA0" w:rsidR="001434DB" w:rsidRPr="00EE2B22" w:rsidRDefault="001434DB" w:rsidP="001434DB">
      <w:pPr>
        <w:ind w:right="91"/>
        <w:jc w:val="center"/>
        <w:rPr>
          <w:rFonts w:ascii="Times New Roman" w:hAnsi="Times New Roman" w:cs="Times New Roman"/>
          <w:b/>
          <w:bCs/>
          <w:sz w:val="28"/>
          <w:szCs w:val="28"/>
        </w:rPr>
      </w:pPr>
      <w:r w:rsidRPr="00EE2B22">
        <w:rPr>
          <w:rFonts w:ascii="Times New Roman" w:hAnsi="Times New Roman" w:cs="Times New Roman"/>
          <w:b/>
          <w:bCs/>
          <w:sz w:val="28"/>
          <w:szCs w:val="28"/>
        </w:rPr>
        <w:lastRenderedPageBreak/>
        <w:t>SYSTEM DESIGN</w:t>
      </w:r>
    </w:p>
    <w:p w14:paraId="355EF4B5" w14:textId="450069D8" w:rsidR="001434DB" w:rsidRDefault="001434DB" w:rsidP="001434DB">
      <w:pPr>
        <w:ind w:left="-15" w:right="91"/>
        <w:jc w:val="both"/>
        <w:rPr>
          <w:rFonts w:ascii="Times New Roman" w:hAnsi="Times New Roman" w:cs="Times New Roman"/>
          <w:color w:val="auto"/>
        </w:rPr>
      </w:pPr>
      <w:r>
        <w:br/>
      </w:r>
      <w:r w:rsidRPr="001434DB">
        <w:rPr>
          <w:rFonts w:ascii="Times New Roman" w:hAnsi="Times New Roman" w:cs="Times New Roman"/>
        </w:rPr>
        <w:t xml:space="preserve">To answer these research questions we created the </w:t>
      </w:r>
      <w:proofErr w:type="spellStart"/>
      <w:r w:rsidRPr="001434DB">
        <w:rPr>
          <w:rFonts w:ascii="Times New Roman" w:hAnsi="Times New Roman" w:cs="Times New Roman"/>
        </w:rPr>
        <w:t>TylerADE</w:t>
      </w:r>
      <w:proofErr w:type="spellEnd"/>
      <w:r w:rsidRPr="001434DB">
        <w:rPr>
          <w:rFonts w:ascii="Times New Roman" w:hAnsi="Times New Roman" w:cs="Times New Roman"/>
        </w:rPr>
        <w:t xml:space="preserve"> System as shown in Figure </w:t>
      </w:r>
      <w:r w:rsidRPr="001434DB">
        <w:rPr>
          <w:rFonts w:ascii="Times New Roman" w:hAnsi="Times New Roman" w:cs="Times New Roman"/>
          <w:color w:val="auto"/>
        </w:rPr>
        <w:t>1.</w:t>
      </w:r>
    </w:p>
    <w:p w14:paraId="3BE951FF" w14:textId="00FB64E7" w:rsidR="00EE2B22" w:rsidRDefault="00EE2B22" w:rsidP="001434DB">
      <w:pPr>
        <w:ind w:left="-15" w:right="91"/>
        <w:jc w:val="both"/>
        <w:rPr>
          <w:rFonts w:ascii="Times New Roman" w:hAnsi="Times New Roman" w:cs="Times New Roman"/>
        </w:rPr>
      </w:pPr>
    </w:p>
    <w:p w14:paraId="475AAD69" w14:textId="37038F6A" w:rsidR="00EE2B22" w:rsidRDefault="00EE2B22" w:rsidP="00EE2B22">
      <w:pPr>
        <w:ind w:left="-15" w:right="91"/>
        <w:jc w:val="center"/>
        <w:rPr>
          <w:rFonts w:ascii="Times New Roman" w:hAnsi="Times New Roman" w:cs="Times New Roman"/>
          <w:b/>
          <w:bCs/>
        </w:rPr>
      </w:pPr>
      <w:r w:rsidRPr="00000C9A">
        <w:rPr>
          <w:rFonts w:ascii="Times New Roman" w:hAnsi="Times New Roman" w:cs="Times New Roman"/>
          <w:b/>
          <w:bCs/>
        </w:rPr>
        <w:t>Figure 1</w:t>
      </w:r>
      <w:r>
        <w:rPr>
          <w:rFonts w:ascii="Times New Roman" w:hAnsi="Times New Roman" w:cs="Times New Roman"/>
          <w:b/>
          <w:bCs/>
        </w:rPr>
        <w:t xml:space="preserve"> -</w:t>
      </w:r>
      <w:r w:rsidRPr="00000C9A">
        <w:rPr>
          <w:rFonts w:ascii="Times New Roman" w:hAnsi="Times New Roman" w:cs="Times New Roman"/>
          <w:b/>
          <w:bCs/>
        </w:rPr>
        <w:t xml:space="preserve"> The </w:t>
      </w:r>
      <w:proofErr w:type="spellStart"/>
      <w:r w:rsidRPr="00000C9A">
        <w:rPr>
          <w:rFonts w:ascii="Times New Roman" w:hAnsi="Times New Roman" w:cs="Times New Roman"/>
          <w:b/>
          <w:bCs/>
        </w:rPr>
        <w:t>TylerADE</w:t>
      </w:r>
      <w:proofErr w:type="spellEnd"/>
      <w:r w:rsidRPr="00000C9A">
        <w:rPr>
          <w:rFonts w:ascii="Times New Roman" w:hAnsi="Times New Roman" w:cs="Times New Roman"/>
          <w:b/>
          <w:bCs/>
        </w:rPr>
        <w:t xml:space="preserve"> System</w:t>
      </w:r>
    </w:p>
    <w:p w14:paraId="1EA1974C" w14:textId="77777777" w:rsidR="00EE2B22" w:rsidRPr="001434DB" w:rsidRDefault="00EE2B22" w:rsidP="00EE2B22">
      <w:pPr>
        <w:ind w:left="-15" w:right="91"/>
        <w:jc w:val="center"/>
        <w:rPr>
          <w:rFonts w:ascii="Times New Roman" w:hAnsi="Times New Roman" w:cs="Times New Roman"/>
        </w:rPr>
      </w:pPr>
    </w:p>
    <w:p w14:paraId="02A00566" w14:textId="66E9B705" w:rsidR="001434DB" w:rsidRDefault="001434DB" w:rsidP="001434DB">
      <w:pPr>
        <w:spacing w:after="664"/>
        <w:ind w:right="91"/>
        <w:jc w:val="center"/>
      </w:pPr>
      <w:r>
        <w:rPr>
          <w:noProof/>
        </w:rPr>
        <w:drawing>
          <wp:inline distT="0" distB="0" distL="0" distR="0" wp14:anchorId="53387813" wp14:editId="410E683A">
            <wp:extent cx="2724150" cy="1511300"/>
            <wp:effectExtent l="0" t="0" r="0" b="0"/>
            <wp:docPr id="420" name="Picture 420"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20" name="Picture 420" descr="Diagram&#10;&#10;Description automatically generated"/>
                    <pic:cNvPicPr/>
                  </pic:nvPicPr>
                  <pic:blipFill>
                    <a:blip r:embed="rId11"/>
                    <a:stretch>
                      <a:fillRect/>
                    </a:stretch>
                  </pic:blipFill>
                  <pic:spPr>
                    <a:xfrm>
                      <a:off x="0" y="0"/>
                      <a:ext cx="2724150" cy="1511300"/>
                    </a:xfrm>
                    <a:prstGeom prst="rect">
                      <a:avLst/>
                    </a:prstGeom>
                  </pic:spPr>
                </pic:pic>
              </a:graphicData>
            </a:graphic>
          </wp:inline>
        </w:drawing>
      </w:r>
    </w:p>
    <w:p w14:paraId="46138BD3" w14:textId="086926C1" w:rsidR="001434DB" w:rsidRPr="00000C9A" w:rsidRDefault="001434DB" w:rsidP="001434DB">
      <w:pPr>
        <w:spacing w:after="222" w:line="259" w:lineRule="auto"/>
        <w:ind w:left="10" w:hanging="10"/>
        <w:jc w:val="center"/>
        <w:rPr>
          <w:rFonts w:ascii="Times New Roman" w:hAnsi="Times New Roman" w:cs="Times New Roman"/>
          <w:b/>
          <w:bCs/>
        </w:rPr>
      </w:pPr>
    </w:p>
    <w:p w14:paraId="153B59B6" w14:textId="77777777" w:rsidR="008E1519" w:rsidRPr="008E1519" w:rsidRDefault="008E1519" w:rsidP="008E1519">
      <w:pPr>
        <w:spacing w:after="410"/>
        <w:ind w:left="-15" w:right="91"/>
        <w:jc w:val="both"/>
        <w:rPr>
          <w:rFonts w:ascii="Times New Roman" w:hAnsi="Times New Roman" w:cs="Times New Roman"/>
        </w:rPr>
      </w:pPr>
      <w:r w:rsidRPr="008E1519">
        <w:rPr>
          <w:rFonts w:ascii="Times New Roman" w:hAnsi="Times New Roman" w:cs="Times New Roman"/>
        </w:rPr>
        <w:t>This system collects VAERS data: patient, symptom and vaccine data, before cleaning it by removing excess whitespace and performing a spellcheck. The most common food, drug and environmental allergies are then collected and used to filter VAERS data and store it in a database. The database is then queried to look for statistical relationships in the data.</w:t>
      </w:r>
    </w:p>
    <w:p w14:paraId="19E0A82C" w14:textId="2AE2E59C" w:rsidR="008E1519" w:rsidRPr="00EE2B22" w:rsidRDefault="008E1519" w:rsidP="00EE2B22">
      <w:pPr>
        <w:ind w:right="91"/>
        <w:jc w:val="center"/>
        <w:rPr>
          <w:rFonts w:ascii="Times New Roman" w:hAnsi="Times New Roman" w:cs="Times New Roman"/>
          <w:b/>
          <w:bCs/>
          <w:sz w:val="28"/>
          <w:szCs w:val="28"/>
        </w:rPr>
      </w:pPr>
      <w:r w:rsidRPr="00EE2B22">
        <w:rPr>
          <w:rFonts w:ascii="Times New Roman" w:hAnsi="Times New Roman" w:cs="Times New Roman"/>
          <w:b/>
          <w:bCs/>
          <w:sz w:val="28"/>
          <w:szCs w:val="28"/>
        </w:rPr>
        <w:t>EXPERIMENTAL DESIGN</w:t>
      </w:r>
    </w:p>
    <w:p w14:paraId="74B8A30E" w14:textId="77777777" w:rsidR="00000C9A" w:rsidRDefault="00000C9A" w:rsidP="00000C9A">
      <w:pPr>
        <w:spacing w:after="159"/>
        <w:ind w:left="-15" w:right="91"/>
      </w:pPr>
    </w:p>
    <w:p w14:paraId="2B137B6A" w14:textId="74B74C3B" w:rsidR="00000C9A" w:rsidRDefault="00000C9A" w:rsidP="00000C9A">
      <w:pPr>
        <w:spacing w:after="159"/>
        <w:ind w:left="-15" w:right="91"/>
        <w:jc w:val="both"/>
        <w:rPr>
          <w:rFonts w:ascii="Times New Roman" w:hAnsi="Times New Roman" w:cs="Times New Roman"/>
        </w:rPr>
      </w:pPr>
      <w:r w:rsidRPr="00000C9A">
        <w:rPr>
          <w:rFonts w:ascii="Times New Roman" w:hAnsi="Times New Roman" w:cs="Times New Roman"/>
        </w:rPr>
        <w:t xml:space="preserve">For our study we used the Vaccine Adverse Event Reporting System (VAERS) </w:t>
      </w:r>
      <w:r w:rsidRPr="00000C9A">
        <w:rPr>
          <w:rFonts w:ascii="Times New Roman" w:eastAsia="Calibri" w:hAnsi="Times New Roman" w:cs="Times New Roman"/>
          <w:color w:val="FF0000"/>
          <w:vertAlign w:val="superscript"/>
        </w:rPr>
        <w:footnoteReference w:id="4"/>
      </w:r>
      <w:r w:rsidRPr="00000C9A">
        <w:rPr>
          <w:rFonts w:ascii="Times New Roman" w:eastAsia="Calibri" w:hAnsi="Times New Roman" w:cs="Times New Roman"/>
          <w:color w:val="FF0000"/>
          <w:vertAlign w:val="superscript"/>
        </w:rPr>
        <w:t xml:space="preserve"> </w:t>
      </w:r>
      <w:r w:rsidRPr="00000C9A">
        <w:rPr>
          <w:rFonts w:ascii="Times New Roman" w:hAnsi="Times New Roman" w:cs="Times New Roman"/>
        </w:rPr>
        <w:t xml:space="preserve">data from January 1 to March 30, 2021. VAERS data is stored in three tables of Data, Symptoms and Vaccine. For our study there were 46,163 records for Data, 64,356 for Symptoms and 46,824 for Vaccine. Between the three tables there were 45,800 covid-19 vaccine records in common. Table </w:t>
      </w:r>
      <w:r w:rsidRPr="00000C9A">
        <w:rPr>
          <w:rFonts w:ascii="Times New Roman" w:hAnsi="Times New Roman" w:cs="Times New Roman"/>
          <w:color w:val="FF0000"/>
        </w:rPr>
        <w:t xml:space="preserve">1 </w:t>
      </w:r>
      <w:r w:rsidRPr="00000C9A">
        <w:rPr>
          <w:rFonts w:ascii="Times New Roman" w:hAnsi="Times New Roman" w:cs="Times New Roman"/>
        </w:rPr>
        <w:t>shows the breakdown of VAERS records for each of the three covid-19 vaccines and the number of records in which allergens were reported.</w:t>
      </w:r>
    </w:p>
    <w:p w14:paraId="36F4573D" w14:textId="77777777" w:rsidR="00000C9A" w:rsidRDefault="00000C9A">
      <w:pPr>
        <w:spacing w:after="160" w:line="259" w:lineRule="auto"/>
        <w:rPr>
          <w:rFonts w:ascii="Times New Roman" w:hAnsi="Times New Roman" w:cs="Times New Roman"/>
        </w:rPr>
      </w:pPr>
      <w:r>
        <w:rPr>
          <w:rFonts w:ascii="Times New Roman" w:hAnsi="Times New Roman" w:cs="Times New Roman"/>
        </w:rPr>
        <w:br w:type="page"/>
      </w:r>
    </w:p>
    <w:p w14:paraId="28698F9D" w14:textId="77777777" w:rsidR="00000C9A" w:rsidRPr="00000C9A" w:rsidRDefault="00000C9A" w:rsidP="00000C9A">
      <w:pPr>
        <w:spacing w:after="159"/>
        <w:ind w:left="-15" w:right="91"/>
        <w:jc w:val="both"/>
        <w:rPr>
          <w:rFonts w:ascii="Times New Roman" w:hAnsi="Times New Roman" w:cs="Times New Roman"/>
        </w:rPr>
      </w:pPr>
    </w:p>
    <w:tbl>
      <w:tblPr>
        <w:tblStyle w:val="TableGrid0"/>
        <w:tblW w:w="4498" w:type="dxa"/>
        <w:jc w:val="center"/>
        <w:tblInd w:w="0" w:type="dxa"/>
        <w:tblCellMar>
          <w:right w:w="120" w:type="dxa"/>
        </w:tblCellMar>
        <w:tblLook w:val="04A0" w:firstRow="1" w:lastRow="0" w:firstColumn="1" w:lastColumn="0" w:noHBand="0" w:noVBand="1"/>
      </w:tblPr>
      <w:tblGrid>
        <w:gridCol w:w="1202"/>
        <w:gridCol w:w="2303"/>
        <w:gridCol w:w="993"/>
      </w:tblGrid>
      <w:tr w:rsidR="00000C9A" w14:paraId="3385204D" w14:textId="77777777" w:rsidTr="00B70CAE">
        <w:trPr>
          <w:trHeight w:val="384"/>
          <w:jc w:val="center"/>
        </w:trPr>
        <w:tc>
          <w:tcPr>
            <w:tcW w:w="1202" w:type="dxa"/>
            <w:tcBorders>
              <w:top w:val="single" w:sz="7" w:space="0" w:color="000000"/>
              <w:left w:val="nil"/>
              <w:bottom w:val="single" w:sz="4" w:space="0" w:color="000000"/>
              <w:right w:val="nil"/>
            </w:tcBorders>
          </w:tcPr>
          <w:p w14:paraId="23EAB6BF" w14:textId="77777777" w:rsidR="00000C9A" w:rsidRDefault="00000C9A" w:rsidP="00985BDF">
            <w:pPr>
              <w:spacing w:line="259" w:lineRule="auto"/>
              <w:ind w:left="120"/>
            </w:pPr>
            <w:r>
              <w:t>Vaccine</w:t>
            </w:r>
          </w:p>
        </w:tc>
        <w:tc>
          <w:tcPr>
            <w:tcW w:w="2303" w:type="dxa"/>
            <w:tcBorders>
              <w:top w:val="single" w:sz="7" w:space="0" w:color="000000"/>
              <w:left w:val="nil"/>
              <w:bottom w:val="single" w:sz="4" w:space="0" w:color="000000"/>
              <w:right w:val="nil"/>
            </w:tcBorders>
          </w:tcPr>
          <w:p w14:paraId="7E717E0C" w14:textId="77777777" w:rsidR="00000C9A" w:rsidRDefault="00000C9A" w:rsidP="00985BDF">
            <w:pPr>
              <w:spacing w:line="259" w:lineRule="auto"/>
            </w:pPr>
            <w:r>
              <w:t>Total Records</w:t>
            </w:r>
          </w:p>
        </w:tc>
        <w:tc>
          <w:tcPr>
            <w:tcW w:w="993" w:type="dxa"/>
            <w:tcBorders>
              <w:top w:val="single" w:sz="7" w:space="0" w:color="000000"/>
              <w:left w:val="nil"/>
              <w:bottom w:val="single" w:sz="4" w:space="0" w:color="000000"/>
              <w:right w:val="nil"/>
            </w:tcBorders>
          </w:tcPr>
          <w:p w14:paraId="62FD8932" w14:textId="77777777" w:rsidR="00000C9A" w:rsidRDefault="00000C9A" w:rsidP="00985BDF">
            <w:pPr>
              <w:spacing w:line="259" w:lineRule="auto"/>
            </w:pPr>
            <w:proofErr w:type="spellStart"/>
            <w:r>
              <w:t>Allergen</w:t>
            </w:r>
            <w:proofErr w:type="spellEnd"/>
            <w:r>
              <w:t xml:space="preserve"> Records</w:t>
            </w:r>
          </w:p>
        </w:tc>
      </w:tr>
      <w:tr w:rsidR="00000C9A" w14:paraId="1AF167C1" w14:textId="77777777" w:rsidTr="00B70CAE">
        <w:trPr>
          <w:trHeight w:val="324"/>
          <w:jc w:val="center"/>
        </w:trPr>
        <w:tc>
          <w:tcPr>
            <w:tcW w:w="1202" w:type="dxa"/>
            <w:tcBorders>
              <w:top w:val="single" w:sz="4" w:space="0" w:color="000000"/>
              <w:left w:val="nil"/>
              <w:bottom w:val="nil"/>
              <w:right w:val="nil"/>
            </w:tcBorders>
          </w:tcPr>
          <w:p w14:paraId="1534FB59" w14:textId="77777777" w:rsidR="00000C9A" w:rsidRDefault="00000C9A" w:rsidP="00985BDF">
            <w:pPr>
              <w:spacing w:line="259" w:lineRule="auto"/>
              <w:ind w:left="120"/>
            </w:pPr>
            <w:r>
              <w:t>Moderna</w:t>
            </w:r>
          </w:p>
        </w:tc>
        <w:tc>
          <w:tcPr>
            <w:tcW w:w="2303" w:type="dxa"/>
            <w:tcBorders>
              <w:top w:val="single" w:sz="4" w:space="0" w:color="000000"/>
              <w:left w:val="nil"/>
              <w:bottom w:val="nil"/>
              <w:right w:val="nil"/>
            </w:tcBorders>
          </w:tcPr>
          <w:p w14:paraId="2C9B42DA" w14:textId="77777777" w:rsidR="00000C9A" w:rsidRDefault="00000C9A" w:rsidP="00985BDF">
            <w:pPr>
              <w:spacing w:line="259" w:lineRule="auto"/>
              <w:ind w:left="721"/>
            </w:pPr>
            <w:r>
              <w:t>20,296</w:t>
            </w:r>
          </w:p>
        </w:tc>
        <w:tc>
          <w:tcPr>
            <w:tcW w:w="993" w:type="dxa"/>
            <w:tcBorders>
              <w:top w:val="single" w:sz="4" w:space="0" w:color="000000"/>
              <w:left w:val="nil"/>
              <w:bottom w:val="nil"/>
              <w:right w:val="nil"/>
            </w:tcBorders>
          </w:tcPr>
          <w:p w14:paraId="5B605D8A" w14:textId="77777777" w:rsidR="00000C9A" w:rsidRDefault="00000C9A" w:rsidP="00985BDF">
            <w:pPr>
              <w:spacing w:line="259" w:lineRule="auto"/>
              <w:jc w:val="right"/>
            </w:pPr>
            <w:r>
              <w:t>13,683</w:t>
            </w:r>
          </w:p>
        </w:tc>
      </w:tr>
      <w:tr w:rsidR="00000C9A" w14:paraId="098B5929" w14:textId="77777777" w:rsidTr="00B70CAE">
        <w:trPr>
          <w:trHeight w:val="271"/>
          <w:jc w:val="center"/>
        </w:trPr>
        <w:tc>
          <w:tcPr>
            <w:tcW w:w="1202" w:type="dxa"/>
            <w:tcBorders>
              <w:top w:val="nil"/>
              <w:left w:val="nil"/>
              <w:bottom w:val="nil"/>
              <w:right w:val="nil"/>
            </w:tcBorders>
          </w:tcPr>
          <w:p w14:paraId="3A260AD1" w14:textId="77777777" w:rsidR="00000C9A" w:rsidRDefault="00000C9A" w:rsidP="00985BDF">
            <w:pPr>
              <w:spacing w:line="259" w:lineRule="auto"/>
              <w:ind w:left="120"/>
            </w:pPr>
            <w:r>
              <w:t>Pfizer</w:t>
            </w:r>
          </w:p>
        </w:tc>
        <w:tc>
          <w:tcPr>
            <w:tcW w:w="2303" w:type="dxa"/>
            <w:tcBorders>
              <w:top w:val="nil"/>
              <w:left w:val="nil"/>
              <w:bottom w:val="nil"/>
              <w:right w:val="nil"/>
            </w:tcBorders>
          </w:tcPr>
          <w:p w14:paraId="6079B423" w14:textId="77777777" w:rsidR="00000C9A" w:rsidRDefault="00000C9A" w:rsidP="00985BDF">
            <w:pPr>
              <w:spacing w:line="259" w:lineRule="auto"/>
              <w:ind w:left="721"/>
            </w:pPr>
            <w:r>
              <w:t>20,180</w:t>
            </w:r>
          </w:p>
        </w:tc>
        <w:tc>
          <w:tcPr>
            <w:tcW w:w="993" w:type="dxa"/>
            <w:tcBorders>
              <w:top w:val="nil"/>
              <w:left w:val="nil"/>
              <w:bottom w:val="nil"/>
              <w:right w:val="nil"/>
            </w:tcBorders>
          </w:tcPr>
          <w:p w14:paraId="3800961B" w14:textId="77777777" w:rsidR="00000C9A" w:rsidRDefault="00000C9A" w:rsidP="00985BDF">
            <w:pPr>
              <w:spacing w:line="259" w:lineRule="auto"/>
              <w:jc w:val="right"/>
            </w:pPr>
            <w:r>
              <w:t>9,422</w:t>
            </w:r>
          </w:p>
        </w:tc>
      </w:tr>
      <w:tr w:rsidR="00000C9A" w14:paraId="3802AB90" w14:textId="77777777" w:rsidTr="00B70CAE">
        <w:trPr>
          <w:trHeight w:val="331"/>
          <w:jc w:val="center"/>
        </w:trPr>
        <w:tc>
          <w:tcPr>
            <w:tcW w:w="1202" w:type="dxa"/>
            <w:tcBorders>
              <w:top w:val="nil"/>
              <w:left w:val="nil"/>
              <w:bottom w:val="single" w:sz="7" w:space="0" w:color="000000"/>
              <w:right w:val="nil"/>
            </w:tcBorders>
          </w:tcPr>
          <w:p w14:paraId="41E83B15" w14:textId="77777777" w:rsidR="00000C9A" w:rsidRDefault="00000C9A" w:rsidP="00985BDF">
            <w:pPr>
              <w:spacing w:line="259" w:lineRule="auto"/>
              <w:ind w:left="120"/>
            </w:pPr>
            <w:r>
              <w:t>Janssen</w:t>
            </w:r>
          </w:p>
        </w:tc>
        <w:tc>
          <w:tcPr>
            <w:tcW w:w="2303" w:type="dxa"/>
            <w:tcBorders>
              <w:top w:val="nil"/>
              <w:left w:val="nil"/>
              <w:bottom w:val="single" w:sz="7" w:space="0" w:color="000000"/>
              <w:right w:val="nil"/>
            </w:tcBorders>
          </w:tcPr>
          <w:p w14:paraId="052F6F85" w14:textId="77777777" w:rsidR="00000C9A" w:rsidRDefault="00000C9A" w:rsidP="00985BDF">
            <w:pPr>
              <w:spacing w:line="259" w:lineRule="auto"/>
              <w:ind w:left="830"/>
            </w:pPr>
            <w:r>
              <w:t>5,324</w:t>
            </w:r>
          </w:p>
        </w:tc>
        <w:tc>
          <w:tcPr>
            <w:tcW w:w="993" w:type="dxa"/>
            <w:tcBorders>
              <w:top w:val="nil"/>
              <w:left w:val="nil"/>
              <w:bottom w:val="single" w:sz="7" w:space="0" w:color="000000"/>
              <w:right w:val="nil"/>
            </w:tcBorders>
          </w:tcPr>
          <w:p w14:paraId="07D60175" w14:textId="77777777" w:rsidR="00000C9A" w:rsidRDefault="00000C9A" w:rsidP="00985BDF">
            <w:pPr>
              <w:spacing w:line="259" w:lineRule="auto"/>
              <w:jc w:val="right"/>
            </w:pPr>
            <w:r>
              <w:t>4,227</w:t>
            </w:r>
          </w:p>
        </w:tc>
      </w:tr>
    </w:tbl>
    <w:p w14:paraId="2B7A4FAB" w14:textId="77777777" w:rsidR="00FB679C" w:rsidRPr="00FB679C" w:rsidRDefault="00FB679C" w:rsidP="00FB679C">
      <w:pPr>
        <w:spacing w:after="265" w:line="259" w:lineRule="auto"/>
        <w:ind w:left="10" w:hanging="10"/>
        <w:jc w:val="center"/>
        <w:rPr>
          <w:rFonts w:ascii="Times New Roman" w:hAnsi="Times New Roman" w:cs="Times New Roman"/>
          <w:b/>
          <w:bCs/>
        </w:rPr>
      </w:pPr>
      <w:r w:rsidRPr="00FB679C">
        <w:rPr>
          <w:b/>
          <w:bCs/>
        </w:rPr>
        <w:br/>
      </w:r>
      <w:r w:rsidRPr="00FB679C">
        <w:rPr>
          <w:rFonts w:ascii="Times New Roman" w:hAnsi="Times New Roman" w:cs="Times New Roman"/>
          <w:b/>
          <w:bCs/>
        </w:rPr>
        <w:t>Table 1: Covid-19 VAERS Records by Vaccine</w:t>
      </w:r>
    </w:p>
    <w:p w14:paraId="60A8C73A" w14:textId="63DD77A7" w:rsidR="00FB679C" w:rsidRDefault="00FB679C" w:rsidP="00FB679C">
      <w:pPr>
        <w:ind w:left="-17" w:right="91"/>
        <w:jc w:val="both"/>
        <w:rPr>
          <w:rFonts w:ascii="Times New Roman" w:hAnsi="Times New Roman" w:cs="Times New Roman"/>
        </w:rPr>
      </w:pPr>
      <w:r w:rsidRPr="00FB679C">
        <w:rPr>
          <w:rFonts w:ascii="Times New Roman" w:hAnsi="Times New Roman" w:cs="Times New Roman"/>
        </w:rPr>
        <w:t>For allergens we selected the most common food, drug and environmental allergens (</w:t>
      </w:r>
      <w:proofErr w:type="spellStart"/>
      <w:r w:rsidRPr="00FB679C">
        <w:rPr>
          <w:rFonts w:ascii="Times New Roman" w:hAnsi="Times New Roman" w:cs="Times New Roman"/>
        </w:rPr>
        <w:t>HealthLine</w:t>
      </w:r>
      <w:proofErr w:type="spellEnd"/>
      <w:r w:rsidRPr="00FB679C">
        <w:rPr>
          <w:rFonts w:ascii="Times New Roman" w:hAnsi="Times New Roman" w:cs="Times New Roman"/>
        </w:rPr>
        <w:t xml:space="preserve">, </w:t>
      </w:r>
      <w:r w:rsidRPr="00FB679C">
        <w:rPr>
          <w:rFonts w:ascii="Times New Roman" w:hAnsi="Times New Roman" w:cs="Times New Roman"/>
          <w:color w:val="auto"/>
        </w:rPr>
        <w:t>2020</w:t>
      </w:r>
      <w:r w:rsidRPr="00FB679C">
        <w:rPr>
          <w:rFonts w:ascii="Times New Roman" w:hAnsi="Times New Roman" w:cs="Times New Roman"/>
        </w:rPr>
        <w:t xml:space="preserve">; The Daily Meal, </w:t>
      </w:r>
      <w:r w:rsidRPr="00FB679C">
        <w:rPr>
          <w:rFonts w:ascii="Times New Roman" w:hAnsi="Times New Roman" w:cs="Times New Roman"/>
          <w:color w:val="auto"/>
        </w:rPr>
        <w:t>2012</w:t>
      </w:r>
      <w:r w:rsidRPr="00FB679C">
        <w:rPr>
          <w:rFonts w:ascii="Times New Roman" w:hAnsi="Times New Roman" w:cs="Times New Roman"/>
        </w:rPr>
        <w:t>; WebMD,</w:t>
      </w:r>
      <w:r w:rsidRPr="00FB679C">
        <w:rPr>
          <w:rFonts w:ascii="Times New Roman" w:hAnsi="Times New Roman" w:cs="Times New Roman"/>
          <w:color w:val="auto"/>
        </w:rPr>
        <w:t xml:space="preserve"> 2021</w:t>
      </w:r>
      <w:r w:rsidRPr="00FB679C">
        <w:rPr>
          <w:rFonts w:ascii="Times New Roman" w:hAnsi="Times New Roman" w:cs="Times New Roman"/>
        </w:rPr>
        <w:t xml:space="preserve">). For food allergens we used egg, milk, peanut, soy, wheat, tree nuts, shellfish, fish, raw fruits/vegetables and sesame (The Daily Meal, </w:t>
      </w:r>
      <w:r w:rsidRPr="00FB679C">
        <w:rPr>
          <w:rFonts w:ascii="Times New Roman" w:hAnsi="Times New Roman" w:cs="Times New Roman"/>
          <w:color w:val="auto"/>
        </w:rPr>
        <w:t xml:space="preserve">2012). </w:t>
      </w:r>
      <w:r w:rsidRPr="00FB679C">
        <w:rPr>
          <w:rFonts w:ascii="Times New Roman" w:hAnsi="Times New Roman" w:cs="Times New Roman"/>
        </w:rPr>
        <w:t>For drug allergies we used *</w:t>
      </w:r>
      <w:proofErr w:type="spellStart"/>
      <w:r w:rsidRPr="00FB679C">
        <w:rPr>
          <w:rFonts w:ascii="Times New Roman" w:hAnsi="Times New Roman" w:cs="Times New Roman"/>
        </w:rPr>
        <w:t>cillin</w:t>
      </w:r>
      <w:proofErr w:type="spellEnd"/>
      <w:r w:rsidRPr="00FB679C">
        <w:rPr>
          <w:rFonts w:ascii="Times New Roman" w:hAnsi="Times New Roman" w:cs="Times New Roman"/>
        </w:rPr>
        <w:t xml:space="preserve"> (family of antibiotics, e.g.; penicillin, amoxicillin, etc.), tetracycline, ibuprofen, naproxen, aspirin, sulfa drugs, chemotherapy drugs, cetuximab, rituximab, abacavir, nevirapine, insulin, carbamazepine, lamotrigine, phenytoin, atracurium, succinylcholine and vecuronium (WebMD, </w:t>
      </w:r>
      <w:r w:rsidRPr="00FB679C">
        <w:rPr>
          <w:rFonts w:ascii="Times New Roman" w:hAnsi="Times New Roman" w:cs="Times New Roman"/>
          <w:color w:val="auto"/>
        </w:rPr>
        <w:t>2021</w:t>
      </w:r>
      <w:r w:rsidRPr="00FB679C">
        <w:rPr>
          <w:rFonts w:ascii="Times New Roman" w:hAnsi="Times New Roman" w:cs="Times New Roman"/>
        </w:rPr>
        <w:t xml:space="preserve">). For environmental allergies we used </w:t>
      </w:r>
      <w:proofErr w:type="spellStart"/>
      <w:r w:rsidRPr="00FB679C">
        <w:rPr>
          <w:rFonts w:ascii="Times New Roman" w:hAnsi="Times New Roman" w:cs="Times New Roman"/>
        </w:rPr>
        <w:t>dustmites</w:t>
      </w:r>
      <w:proofErr w:type="spellEnd"/>
      <w:r w:rsidRPr="00FB679C">
        <w:rPr>
          <w:rFonts w:ascii="Times New Roman" w:hAnsi="Times New Roman" w:cs="Times New Roman"/>
        </w:rPr>
        <w:t>, pollen, pet dander, mold and smoke (</w:t>
      </w:r>
      <w:proofErr w:type="spellStart"/>
      <w:r w:rsidRPr="00FB679C">
        <w:rPr>
          <w:rFonts w:ascii="Times New Roman" w:hAnsi="Times New Roman" w:cs="Times New Roman"/>
        </w:rPr>
        <w:t>HealthLine</w:t>
      </w:r>
      <w:proofErr w:type="spellEnd"/>
      <w:r w:rsidRPr="00FB679C">
        <w:rPr>
          <w:rFonts w:ascii="Times New Roman" w:hAnsi="Times New Roman" w:cs="Times New Roman"/>
        </w:rPr>
        <w:t xml:space="preserve">, </w:t>
      </w:r>
      <w:r w:rsidRPr="00FB679C">
        <w:rPr>
          <w:rFonts w:ascii="Times New Roman" w:hAnsi="Times New Roman" w:cs="Times New Roman"/>
          <w:color w:val="auto"/>
        </w:rPr>
        <w:t>2020</w:t>
      </w:r>
      <w:r w:rsidRPr="00FB679C">
        <w:rPr>
          <w:rFonts w:ascii="Times New Roman" w:hAnsi="Times New Roman" w:cs="Times New Roman"/>
        </w:rPr>
        <w:t>).</w:t>
      </w:r>
      <w:r>
        <w:rPr>
          <w:rFonts w:ascii="Times New Roman" w:hAnsi="Times New Roman" w:cs="Times New Roman"/>
        </w:rPr>
        <w:br/>
      </w:r>
    </w:p>
    <w:p w14:paraId="55B5AAEB" w14:textId="34E9F290" w:rsidR="00FB679C" w:rsidRDefault="00FB679C" w:rsidP="00FB679C">
      <w:pPr>
        <w:ind w:left="-17" w:right="91"/>
        <w:jc w:val="center"/>
        <w:rPr>
          <w:rFonts w:ascii="Times New Roman" w:hAnsi="Times New Roman" w:cs="Times New Roman"/>
          <w:b/>
          <w:bCs/>
        </w:rPr>
      </w:pPr>
      <w:r w:rsidRPr="00FB679C">
        <w:rPr>
          <w:rFonts w:ascii="Times New Roman" w:hAnsi="Times New Roman" w:cs="Times New Roman"/>
          <w:b/>
          <w:bCs/>
        </w:rPr>
        <w:t>RESULTS AND DISCUSSION</w:t>
      </w:r>
      <w:r>
        <w:rPr>
          <w:rFonts w:ascii="Times New Roman" w:hAnsi="Times New Roman" w:cs="Times New Roman"/>
          <w:b/>
          <w:bCs/>
        </w:rPr>
        <w:br/>
      </w:r>
    </w:p>
    <w:p w14:paraId="7BCB212B" w14:textId="6335D14B" w:rsidR="00FB679C" w:rsidRDefault="00FB679C" w:rsidP="00FB679C">
      <w:pPr>
        <w:ind w:left="-17" w:right="91"/>
        <w:jc w:val="both"/>
        <w:rPr>
          <w:rFonts w:ascii="Times New Roman" w:hAnsi="Times New Roman" w:cs="Times New Roman"/>
        </w:rPr>
      </w:pPr>
      <w:r w:rsidRPr="00FB679C">
        <w:rPr>
          <w:rFonts w:ascii="Times New Roman" w:hAnsi="Times New Roman" w:cs="Times New Roman"/>
        </w:rPr>
        <w:t>To answer our research questions, we investigated the VAERS data for each of the three covid-19 vaccines.</w:t>
      </w:r>
    </w:p>
    <w:p w14:paraId="22AB244E" w14:textId="77777777" w:rsidR="00FB679C" w:rsidRPr="00FB679C" w:rsidRDefault="00FB679C" w:rsidP="00FB679C">
      <w:pPr>
        <w:ind w:left="-17" w:right="91"/>
        <w:jc w:val="both"/>
        <w:rPr>
          <w:rFonts w:ascii="Times New Roman" w:hAnsi="Times New Roman" w:cs="Times New Roman"/>
        </w:rPr>
      </w:pPr>
    </w:p>
    <w:p w14:paraId="2E524F75" w14:textId="77777777" w:rsidR="00FB679C" w:rsidRPr="00FB679C" w:rsidRDefault="00FB679C" w:rsidP="00FB679C">
      <w:pPr>
        <w:spacing w:after="264"/>
        <w:ind w:left="-15" w:right="91"/>
        <w:jc w:val="both"/>
        <w:rPr>
          <w:rFonts w:ascii="Times New Roman" w:hAnsi="Times New Roman" w:cs="Times New Roman"/>
        </w:rPr>
      </w:pPr>
      <w:r w:rsidRPr="00FB679C">
        <w:rPr>
          <w:rFonts w:ascii="Times New Roman" w:eastAsia="Calibri" w:hAnsi="Times New Roman" w:cs="Times New Roman"/>
          <w:b/>
          <w:bCs/>
          <w:i/>
          <w:iCs/>
        </w:rPr>
        <w:t>Which covid-19 vaccine is associated with the fewest reported adverse reactions?</w:t>
      </w:r>
      <w:r>
        <w:rPr>
          <w:rFonts w:ascii="Times New Roman" w:eastAsia="Calibri" w:hAnsi="Times New Roman" w:cs="Times New Roman"/>
          <w:b/>
          <w:bCs/>
          <w:i/>
          <w:iCs/>
        </w:rPr>
        <w:br/>
      </w:r>
      <w:r>
        <w:rPr>
          <w:rFonts w:ascii="Times New Roman" w:eastAsia="Calibri" w:hAnsi="Times New Roman" w:cs="Times New Roman"/>
          <w:b/>
          <w:bCs/>
          <w:i/>
          <w:iCs/>
        </w:rPr>
        <w:br/>
      </w:r>
      <w:r w:rsidRPr="00FB679C">
        <w:rPr>
          <w:rFonts w:ascii="Times New Roman" w:hAnsi="Times New Roman" w:cs="Times New Roman"/>
        </w:rPr>
        <w:t xml:space="preserve">To answer this research question we analyze the proportion of VAERS records in which allergens were reported versus their totals for each of the three vaccines as shown in Table </w:t>
      </w:r>
      <w:r w:rsidRPr="00FB679C">
        <w:rPr>
          <w:rFonts w:ascii="Times New Roman" w:hAnsi="Times New Roman" w:cs="Times New Roman"/>
          <w:color w:val="auto"/>
        </w:rPr>
        <w:t>2.</w:t>
      </w:r>
    </w:p>
    <w:p w14:paraId="26BF0CF4" w14:textId="7F1FDC29" w:rsidR="00FB679C" w:rsidRDefault="00FB679C" w:rsidP="00FB679C">
      <w:pPr>
        <w:ind w:left="-15" w:right="91"/>
        <w:jc w:val="both"/>
        <w:rPr>
          <w:rFonts w:ascii="Times New Roman" w:hAnsi="Times New Roman" w:cs="Times New Roman"/>
        </w:rPr>
      </w:pPr>
      <w:r w:rsidRPr="00FB679C">
        <w:rPr>
          <w:rFonts w:ascii="Times New Roman" w:hAnsi="Times New Roman" w:cs="Times New Roman"/>
        </w:rPr>
        <w:t xml:space="preserve">From this data, Janssen had the highest proportion of adverse event reports where an allergy co-occurred with 79.40%, followed by Moderna with 67.42% and Pfizer with 46.69%. </w:t>
      </w:r>
    </w:p>
    <w:p w14:paraId="42A14A0B" w14:textId="40A267C1" w:rsidR="00FB679C" w:rsidRDefault="00FB679C">
      <w:pPr>
        <w:spacing w:after="160" w:line="259" w:lineRule="auto"/>
        <w:rPr>
          <w:rFonts w:ascii="Times New Roman" w:hAnsi="Times New Roman" w:cs="Times New Roman"/>
        </w:rPr>
      </w:pPr>
      <w:r>
        <w:rPr>
          <w:rFonts w:ascii="Times New Roman" w:hAnsi="Times New Roman" w:cs="Times New Roman"/>
        </w:rPr>
        <w:br w:type="page"/>
      </w:r>
    </w:p>
    <w:p w14:paraId="31733633" w14:textId="77777777" w:rsidR="00FB679C" w:rsidRPr="00FB679C" w:rsidRDefault="00FB679C" w:rsidP="00FB679C">
      <w:pPr>
        <w:ind w:left="-15" w:right="91"/>
        <w:jc w:val="both"/>
        <w:rPr>
          <w:rFonts w:ascii="Times New Roman" w:hAnsi="Times New Roman" w:cs="Times New Roman"/>
        </w:rPr>
      </w:pPr>
    </w:p>
    <w:tbl>
      <w:tblPr>
        <w:tblStyle w:val="TableGrid0"/>
        <w:tblW w:w="7604" w:type="dxa"/>
        <w:jc w:val="center"/>
        <w:tblInd w:w="0" w:type="dxa"/>
        <w:tblCellMar>
          <w:right w:w="115" w:type="dxa"/>
        </w:tblCellMar>
        <w:tblLook w:val="04A0" w:firstRow="1" w:lastRow="0" w:firstColumn="1" w:lastColumn="0" w:noHBand="0" w:noVBand="1"/>
      </w:tblPr>
      <w:tblGrid>
        <w:gridCol w:w="1160"/>
        <w:gridCol w:w="978"/>
        <w:gridCol w:w="1425"/>
        <w:gridCol w:w="1776"/>
        <w:gridCol w:w="539"/>
        <w:gridCol w:w="539"/>
        <w:gridCol w:w="1187"/>
      </w:tblGrid>
      <w:tr w:rsidR="00FB679C" w14:paraId="44E4B729" w14:textId="77777777" w:rsidTr="00EE2B22">
        <w:trPr>
          <w:trHeight w:val="384"/>
          <w:jc w:val="center"/>
        </w:trPr>
        <w:tc>
          <w:tcPr>
            <w:tcW w:w="1160" w:type="dxa"/>
            <w:tcBorders>
              <w:top w:val="single" w:sz="7" w:space="0" w:color="000000"/>
              <w:left w:val="nil"/>
              <w:bottom w:val="single" w:sz="4" w:space="0" w:color="000000"/>
              <w:right w:val="nil"/>
            </w:tcBorders>
          </w:tcPr>
          <w:p w14:paraId="4C3694DE" w14:textId="602D9BCF" w:rsidR="00FB679C" w:rsidRDefault="00FB679C" w:rsidP="00985BDF">
            <w:pPr>
              <w:spacing w:line="259" w:lineRule="auto"/>
              <w:ind w:left="120"/>
            </w:pPr>
            <w:r>
              <w:rPr>
                <w:rFonts w:ascii="Times New Roman" w:eastAsia="Calibri" w:hAnsi="Times New Roman" w:cs="Times New Roman"/>
                <w:b/>
                <w:bCs/>
                <w:i/>
                <w:iCs/>
              </w:rPr>
              <w:br/>
            </w:r>
            <w:r>
              <w:t>Vaccine</w:t>
            </w:r>
          </w:p>
        </w:tc>
        <w:tc>
          <w:tcPr>
            <w:tcW w:w="978" w:type="dxa"/>
            <w:tcBorders>
              <w:top w:val="single" w:sz="7" w:space="0" w:color="000000"/>
              <w:left w:val="nil"/>
              <w:bottom w:val="single" w:sz="4" w:space="0" w:color="000000"/>
              <w:right w:val="nil"/>
            </w:tcBorders>
          </w:tcPr>
          <w:p w14:paraId="64F9EC4D" w14:textId="77777777" w:rsidR="00FB679C" w:rsidRDefault="00FB679C" w:rsidP="00985BDF">
            <w:pPr>
              <w:spacing w:line="259" w:lineRule="auto"/>
            </w:pPr>
            <w:r>
              <w:t>Records</w:t>
            </w:r>
          </w:p>
        </w:tc>
        <w:tc>
          <w:tcPr>
            <w:tcW w:w="1425" w:type="dxa"/>
            <w:tcBorders>
              <w:top w:val="single" w:sz="7" w:space="0" w:color="000000"/>
              <w:left w:val="nil"/>
              <w:bottom w:val="single" w:sz="4" w:space="0" w:color="000000"/>
              <w:right w:val="nil"/>
            </w:tcBorders>
          </w:tcPr>
          <w:p w14:paraId="62EB3623" w14:textId="77777777" w:rsidR="00FB679C" w:rsidRDefault="00FB679C" w:rsidP="00985BDF">
            <w:pPr>
              <w:spacing w:line="259" w:lineRule="auto"/>
            </w:pPr>
            <w:proofErr w:type="spellStart"/>
            <w:r>
              <w:t>Allergen</w:t>
            </w:r>
            <w:proofErr w:type="spellEnd"/>
            <w:r>
              <w:t xml:space="preserve"> </w:t>
            </w:r>
            <w:proofErr w:type="spellStart"/>
            <w:r>
              <w:t>Pct</w:t>
            </w:r>
            <w:proofErr w:type="spellEnd"/>
          </w:p>
        </w:tc>
        <w:tc>
          <w:tcPr>
            <w:tcW w:w="1776" w:type="dxa"/>
            <w:tcBorders>
              <w:top w:val="single" w:sz="7" w:space="0" w:color="000000"/>
              <w:left w:val="nil"/>
              <w:bottom w:val="single" w:sz="4" w:space="0" w:color="000000"/>
              <w:right w:val="nil"/>
            </w:tcBorders>
          </w:tcPr>
          <w:p w14:paraId="7488D9B1" w14:textId="77777777" w:rsidR="00FB679C" w:rsidRDefault="00FB679C" w:rsidP="00B70CAE">
            <w:pPr>
              <w:spacing w:line="259" w:lineRule="auto"/>
              <w:jc w:val="right"/>
            </w:pPr>
            <w:proofErr w:type="spellStart"/>
            <w:r>
              <w:t>Hospitalized</w:t>
            </w:r>
            <w:proofErr w:type="spellEnd"/>
            <w:r>
              <w:t xml:space="preserve"> </w:t>
            </w:r>
            <w:proofErr w:type="spellStart"/>
            <w:r>
              <w:t>Pct</w:t>
            </w:r>
            <w:proofErr w:type="spellEnd"/>
          </w:p>
        </w:tc>
        <w:tc>
          <w:tcPr>
            <w:tcW w:w="539" w:type="dxa"/>
            <w:tcBorders>
              <w:top w:val="single" w:sz="7" w:space="0" w:color="000000"/>
              <w:left w:val="nil"/>
              <w:bottom w:val="single" w:sz="4" w:space="0" w:color="000000"/>
              <w:right w:val="nil"/>
            </w:tcBorders>
          </w:tcPr>
          <w:p w14:paraId="071CB50A" w14:textId="77777777" w:rsidR="00FB679C" w:rsidRDefault="00FB679C" w:rsidP="00985BDF">
            <w:pPr>
              <w:spacing w:line="259" w:lineRule="auto"/>
            </w:pPr>
          </w:p>
        </w:tc>
        <w:tc>
          <w:tcPr>
            <w:tcW w:w="539" w:type="dxa"/>
            <w:tcBorders>
              <w:top w:val="single" w:sz="7" w:space="0" w:color="000000"/>
              <w:left w:val="nil"/>
              <w:bottom w:val="single" w:sz="4" w:space="0" w:color="000000"/>
              <w:right w:val="nil"/>
            </w:tcBorders>
          </w:tcPr>
          <w:p w14:paraId="69C17213" w14:textId="0D22B23E" w:rsidR="00FB679C" w:rsidRDefault="00FB679C" w:rsidP="00985BDF">
            <w:pPr>
              <w:spacing w:line="259" w:lineRule="auto"/>
            </w:pPr>
          </w:p>
        </w:tc>
        <w:tc>
          <w:tcPr>
            <w:tcW w:w="1187" w:type="dxa"/>
            <w:tcBorders>
              <w:top w:val="single" w:sz="7" w:space="0" w:color="000000"/>
              <w:left w:val="nil"/>
              <w:bottom w:val="single" w:sz="4" w:space="0" w:color="000000"/>
              <w:right w:val="nil"/>
            </w:tcBorders>
          </w:tcPr>
          <w:p w14:paraId="41145A9B" w14:textId="3B70999A" w:rsidR="00FB679C" w:rsidRDefault="00FB679C" w:rsidP="00985BDF">
            <w:pPr>
              <w:spacing w:line="259" w:lineRule="auto"/>
            </w:pPr>
            <w:proofErr w:type="spellStart"/>
            <w:r>
              <w:t>Death</w:t>
            </w:r>
            <w:proofErr w:type="spellEnd"/>
            <w:r>
              <w:t xml:space="preserve"> </w:t>
            </w:r>
            <w:proofErr w:type="spellStart"/>
            <w:r>
              <w:t>Pct</w:t>
            </w:r>
            <w:proofErr w:type="spellEnd"/>
          </w:p>
        </w:tc>
      </w:tr>
      <w:tr w:rsidR="00FB679C" w14:paraId="58B402EF" w14:textId="77777777" w:rsidTr="00EE2B22">
        <w:trPr>
          <w:trHeight w:val="324"/>
          <w:jc w:val="center"/>
        </w:trPr>
        <w:tc>
          <w:tcPr>
            <w:tcW w:w="1160" w:type="dxa"/>
            <w:tcBorders>
              <w:top w:val="single" w:sz="4" w:space="0" w:color="000000"/>
              <w:left w:val="nil"/>
              <w:bottom w:val="nil"/>
              <w:right w:val="nil"/>
            </w:tcBorders>
          </w:tcPr>
          <w:p w14:paraId="15538B58" w14:textId="77777777" w:rsidR="00FB679C" w:rsidRDefault="00FB679C" w:rsidP="00985BDF">
            <w:pPr>
              <w:spacing w:line="259" w:lineRule="auto"/>
              <w:ind w:left="120"/>
            </w:pPr>
            <w:r>
              <w:t>Moderna</w:t>
            </w:r>
          </w:p>
        </w:tc>
        <w:tc>
          <w:tcPr>
            <w:tcW w:w="978" w:type="dxa"/>
            <w:tcBorders>
              <w:top w:val="single" w:sz="4" w:space="0" w:color="000000"/>
              <w:left w:val="nil"/>
              <w:bottom w:val="nil"/>
              <w:right w:val="nil"/>
            </w:tcBorders>
          </w:tcPr>
          <w:p w14:paraId="41157494" w14:textId="77777777" w:rsidR="00FB679C" w:rsidRDefault="00FB679C" w:rsidP="00985BDF">
            <w:pPr>
              <w:spacing w:line="259" w:lineRule="auto"/>
              <w:ind w:left="149"/>
            </w:pPr>
            <w:r>
              <w:t>20,296</w:t>
            </w:r>
          </w:p>
        </w:tc>
        <w:tc>
          <w:tcPr>
            <w:tcW w:w="1425" w:type="dxa"/>
            <w:tcBorders>
              <w:top w:val="single" w:sz="4" w:space="0" w:color="000000"/>
              <w:left w:val="nil"/>
              <w:bottom w:val="nil"/>
              <w:right w:val="nil"/>
            </w:tcBorders>
          </w:tcPr>
          <w:p w14:paraId="6F2621C9" w14:textId="77777777" w:rsidR="00FB679C" w:rsidRDefault="00FB679C" w:rsidP="00985BDF">
            <w:pPr>
              <w:spacing w:line="259" w:lineRule="auto"/>
              <w:ind w:left="515"/>
            </w:pPr>
            <w:r>
              <w:t>67.42%</w:t>
            </w:r>
          </w:p>
        </w:tc>
        <w:tc>
          <w:tcPr>
            <w:tcW w:w="1776" w:type="dxa"/>
            <w:tcBorders>
              <w:top w:val="single" w:sz="4" w:space="0" w:color="000000"/>
              <w:left w:val="nil"/>
              <w:bottom w:val="nil"/>
              <w:right w:val="nil"/>
            </w:tcBorders>
          </w:tcPr>
          <w:p w14:paraId="24EB1BED" w14:textId="77777777" w:rsidR="00FB679C" w:rsidRDefault="00FB679C" w:rsidP="00985BDF">
            <w:pPr>
              <w:spacing w:line="259" w:lineRule="auto"/>
              <w:ind w:left="998"/>
            </w:pPr>
            <w:r>
              <w:t>2.38%</w:t>
            </w:r>
          </w:p>
        </w:tc>
        <w:tc>
          <w:tcPr>
            <w:tcW w:w="539" w:type="dxa"/>
            <w:tcBorders>
              <w:top w:val="single" w:sz="4" w:space="0" w:color="000000"/>
              <w:left w:val="nil"/>
              <w:bottom w:val="nil"/>
              <w:right w:val="nil"/>
            </w:tcBorders>
          </w:tcPr>
          <w:p w14:paraId="5F386DD9" w14:textId="77777777" w:rsidR="00FB679C" w:rsidRDefault="00FB679C" w:rsidP="00985BDF">
            <w:pPr>
              <w:spacing w:line="259" w:lineRule="auto"/>
              <w:ind w:left="410"/>
            </w:pPr>
          </w:p>
        </w:tc>
        <w:tc>
          <w:tcPr>
            <w:tcW w:w="539" w:type="dxa"/>
            <w:tcBorders>
              <w:top w:val="single" w:sz="4" w:space="0" w:color="000000"/>
              <w:left w:val="nil"/>
              <w:bottom w:val="nil"/>
              <w:right w:val="nil"/>
            </w:tcBorders>
          </w:tcPr>
          <w:p w14:paraId="2DF36413" w14:textId="735A032B" w:rsidR="00FB679C" w:rsidRDefault="00FB679C" w:rsidP="00985BDF">
            <w:pPr>
              <w:spacing w:line="259" w:lineRule="auto"/>
              <w:ind w:left="410"/>
            </w:pPr>
          </w:p>
        </w:tc>
        <w:tc>
          <w:tcPr>
            <w:tcW w:w="1187" w:type="dxa"/>
            <w:tcBorders>
              <w:top w:val="single" w:sz="4" w:space="0" w:color="000000"/>
              <w:left w:val="nil"/>
              <w:bottom w:val="nil"/>
              <w:right w:val="nil"/>
            </w:tcBorders>
          </w:tcPr>
          <w:p w14:paraId="6A9B08F8" w14:textId="3D422788" w:rsidR="00FB679C" w:rsidRDefault="00FB679C" w:rsidP="00985BDF">
            <w:pPr>
              <w:spacing w:line="259" w:lineRule="auto"/>
              <w:ind w:left="410"/>
            </w:pPr>
            <w:r>
              <w:t>5.15%</w:t>
            </w:r>
          </w:p>
        </w:tc>
      </w:tr>
      <w:tr w:rsidR="00FB679C" w14:paraId="2624B201" w14:textId="77777777" w:rsidTr="00EE2B22">
        <w:trPr>
          <w:trHeight w:val="271"/>
          <w:jc w:val="center"/>
        </w:trPr>
        <w:tc>
          <w:tcPr>
            <w:tcW w:w="1160" w:type="dxa"/>
            <w:tcBorders>
              <w:top w:val="nil"/>
              <w:left w:val="nil"/>
              <w:bottom w:val="nil"/>
              <w:right w:val="nil"/>
            </w:tcBorders>
          </w:tcPr>
          <w:p w14:paraId="0CE179CC" w14:textId="77777777" w:rsidR="00FB679C" w:rsidRDefault="00FB679C" w:rsidP="00985BDF">
            <w:pPr>
              <w:spacing w:line="259" w:lineRule="auto"/>
              <w:ind w:left="120"/>
            </w:pPr>
            <w:r>
              <w:t>Pfizer</w:t>
            </w:r>
          </w:p>
        </w:tc>
        <w:tc>
          <w:tcPr>
            <w:tcW w:w="978" w:type="dxa"/>
            <w:tcBorders>
              <w:top w:val="nil"/>
              <w:left w:val="nil"/>
              <w:bottom w:val="nil"/>
              <w:right w:val="nil"/>
            </w:tcBorders>
          </w:tcPr>
          <w:p w14:paraId="410A3AF6" w14:textId="77777777" w:rsidR="00FB679C" w:rsidRDefault="00FB679C" w:rsidP="00985BDF">
            <w:pPr>
              <w:spacing w:line="259" w:lineRule="auto"/>
              <w:ind w:left="149"/>
            </w:pPr>
            <w:r>
              <w:t>20,180</w:t>
            </w:r>
          </w:p>
        </w:tc>
        <w:tc>
          <w:tcPr>
            <w:tcW w:w="1425" w:type="dxa"/>
            <w:tcBorders>
              <w:top w:val="nil"/>
              <w:left w:val="nil"/>
              <w:bottom w:val="nil"/>
              <w:right w:val="nil"/>
            </w:tcBorders>
          </w:tcPr>
          <w:p w14:paraId="4084BD85" w14:textId="77777777" w:rsidR="00FB679C" w:rsidRDefault="00FB679C" w:rsidP="00985BDF">
            <w:pPr>
              <w:spacing w:line="259" w:lineRule="auto"/>
              <w:ind w:left="515"/>
            </w:pPr>
            <w:r>
              <w:t>46.69%</w:t>
            </w:r>
          </w:p>
        </w:tc>
        <w:tc>
          <w:tcPr>
            <w:tcW w:w="1776" w:type="dxa"/>
            <w:tcBorders>
              <w:top w:val="nil"/>
              <w:left w:val="nil"/>
              <w:bottom w:val="nil"/>
              <w:right w:val="nil"/>
            </w:tcBorders>
          </w:tcPr>
          <w:p w14:paraId="3F675C1A" w14:textId="77777777" w:rsidR="00FB679C" w:rsidRDefault="00FB679C" w:rsidP="00985BDF">
            <w:pPr>
              <w:spacing w:line="259" w:lineRule="auto"/>
              <w:ind w:left="999"/>
            </w:pPr>
            <w:r>
              <w:t>2.59%</w:t>
            </w:r>
          </w:p>
        </w:tc>
        <w:tc>
          <w:tcPr>
            <w:tcW w:w="539" w:type="dxa"/>
            <w:tcBorders>
              <w:top w:val="nil"/>
              <w:left w:val="nil"/>
              <w:bottom w:val="nil"/>
              <w:right w:val="nil"/>
            </w:tcBorders>
          </w:tcPr>
          <w:p w14:paraId="77A6B8C5" w14:textId="77777777" w:rsidR="00FB679C" w:rsidRDefault="00FB679C" w:rsidP="00985BDF">
            <w:pPr>
              <w:spacing w:line="259" w:lineRule="auto"/>
              <w:ind w:left="410"/>
            </w:pPr>
          </w:p>
        </w:tc>
        <w:tc>
          <w:tcPr>
            <w:tcW w:w="539" w:type="dxa"/>
            <w:tcBorders>
              <w:top w:val="nil"/>
              <w:left w:val="nil"/>
              <w:bottom w:val="nil"/>
              <w:right w:val="nil"/>
            </w:tcBorders>
          </w:tcPr>
          <w:p w14:paraId="22735883" w14:textId="12DB06F6" w:rsidR="00FB679C" w:rsidRDefault="00FB679C" w:rsidP="00985BDF">
            <w:pPr>
              <w:spacing w:line="259" w:lineRule="auto"/>
              <w:ind w:left="410"/>
            </w:pPr>
          </w:p>
        </w:tc>
        <w:tc>
          <w:tcPr>
            <w:tcW w:w="1187" w:type="dxa"/>
            <w:tcBorders>
              <w:top w:val="nil"/>
              <w:left w:val="nil"/>
              <w:bottom w:val="nil"/>
              <w:right w:val="nil"/>
            </w:tcBorders>
          </w:tcPr>
          <w:p w14:paraId="7B45218A" w14:textId="6D52F44E" w:rsidR="00FB679C" w:rsidRDefault="00FB679C" w:rsidP="00985BDF">
            <w:pPr>
              <w:spacing w:line="259" w:lineRule="auto"/>
              <w:ind w:left="410"/>
            </w:pPr>
            <w:r>
              <w:t>2.70%</w:t>
            </w:r>
          </w:p>
        </w:tc>
      </w:tr>
      <w:tr w:rsidR="00FB679C" w14:paraId="06827178" w14:textId="77777777" w:rsidTr="00EE2B22">
        <w:trPr>
          <w:trHeight w:val="331"/>
          <w:jc w:val="center"/>
        </w:trPr>
        <w:tc>
          <w:tcPr>
            <w:tcW w:w="1160" w:type="dxa"/>
            <w:tcBorders>
              <w:top w:val="nil"/>
              <w:left w:val="nil"/>
              <w:bottom w:val="single" w:sz="7" w:space="0" w:color="000000"/>
              <w:right w:val="nil"/>
            </w:tcBorders>
          </w:tcPr>
          <w:p w14:paraId="68CDA867" w14:textId="77777777" w:rsidR="00FB679C" w:rsidRDefault="00FB679C" w:rsidP="00985BDF">
            <w:pPr>
              <w:spacing w:line="259" w:lineRule="auto"/>
              <w:ind w:left="120"/>
            </w:pPr>
            <w:r>
              <w:t>Janssen</w:t>
            </w:r>
          </w:p>
        </w:tc>
        <w:tc>
          <w:tcPr>
            <w:tcW w:w="978" w:type="dxa"/>
            <w:tcBorders>
              <w:top w:val="nil"/>
              <w:left w:val="nil"/>
              <w:bottom w:val="single" w:sz="7" w:space="0" w:color="000000"/>
              <w:right w:val="nil"/>
            </w:tcBorders>
          </w:tcPr>
          <w:p w14:paraId="34C261AB" w14:textId="77777777" w:rsidR="00FB679C" w:rsidRDefault="00FB679C" w:rsidP="00985BDF">
            <w:pPr>
              <w:spacing w:line="259" w:lineRule="auto"/>
              <w:ind w:left="133"/>
              <w:jc w:val="center"/>
            </w:pPr>
            <w:r>
              <w:t>5,324</w:t>
            </w:r>
          </w:p>
        </w:tc>
        <w:tc>
          <w:tcPr>
            <w:tcW w:w="1425" w:type="dxa"/>
            <w:tcBorders>
              <w:top w:val="nil"/>
              <w:left w:val="nil"/>
              <w:bottom w:val="single" w:sz="7" w:space="0" w:color="000000"/>
              <w:right w:val="nil"/>
            </w:tcBorders>
          </w:tcPr>
          <w:p w14:paraId="2029A654" w14:textId="77777777" w:rsidR="00FB679C" w:rsidRDefault="00FB679C" w:rsidP="00985BDF">
            <w:pPr>
              <w:spacing w:line="259" w:lineRule="auto"/>
              <w:ind w:left="515"/>
            </w:pPr>
            <w:r>
              <w:t>79.40%</w:t>
            </w:r>
          </w:p>
        </w:tc>
        <w:tc>
          <w:tcPr>
            <w:tcW w:w="1776" w:type="dxa"/>
            <w:tcBorders>
              <w:top w:val="nil"/>
              <w:left w:val="nil"/>
              <w:bottom w:val="single" w:sz="7" w:space="0" w:color="000000"/>
              <w:right w:val="nil"/>
            </w:tcBorders>
          </w:tcPr>
          <w:p w14:paraId="78DEA9BF" w14:textId="77777777" w:rsidR="00FB679C" w:rsidRDefault="00FB679C" w:rsidP="00985BDF">
            <w:pPr>
              <w:spacing w:line="259" w:lineRule="auto"/>
              <w:ind w:left="999"/>
            </w:pPr>
            <w:r>
              <w:t>0.62%</w:t>
            </w:r>
          </w:p>
        </w:tc>
        <w:tc>
          <w:tcPr>
            <w:tcW w:w="539" w:type="dxa"/>
            <w:tcBorders>
              <w:top w:val="nil"/>
              <w:left w:val="nil"/>
              <w:bottom w:val="single" w:sz="7" w:space="0" w:color="000000"/>
              <w:right w:val="nil"/>
            </w:tcBorders>
          </w:tcPr>
          <w:p w14:paraId="19865B67" w14:textId="77777777" w:rsidR="00FB679C" w:rsidRDefault="00FB679C" w:rsidP="00985BDF">
            <w:pPr>
              <w:spacing w:line="259" w:lineRule="auto"/>
              <w:ind w:left="410"/>
            </w:pPr>
          </w:p>
        </w:tc>
        <w:tc>
          <w:tcPr>
            <w:tcW w:w="539" w:type="dxa"/>
            <w:tcBorders>
              <w:top w:val="nil"/>
              <w:left w:val="nil"/>
              <w:bottom w:val="single" w:sz="7" w:space="0" w:color="000000"/>
              <w:right w:val="nil"/>
            </w:tcBorders>
          </w:tcPr>
          <w:p w14:paraId="2155BB6F" w14:textId="520B609D" w:rsidR="00FB679C" w:rsidRDefault="00FB679C" w:rsidP="00985BDF">
            <w:pPr>
              <w:spacing w:line="259" w:lineRule="auto"/>
              <w:ind w:left="410"/>
            </w:pPr>
          </w:p>
        </w:tc>
        <w:tc>
          <w:tcPr>
            <w:tcW w:w="1187" w:type="dxa"/>
            <w:tcBorders>
              <w:top w:val="nil"/>
              <w:left w:val="nil"/>
              <w:bottom w:val="single" w:sz="7" w:space="0" w:color="000000"/>
              <w:right w:val="nil"/>
            </w:tcBorders>
          </w:tcPr>
          <w:p w14:paraId="1122FE4C" w14:textId="3E175CF3" w:rsidR="00FB679C" w:rsidRDefault="00FB679C" w:rsidP="00985BDF">
            <w:pPr>
              <w:spacing w:line="259" w:lineRule="auto"/>
              <w:ind w:left="410"/>
            </w:pPr>
            <w:r>
              <w:t>0.60%</w:t>
            </w:r>
          </w:p>
        </w:tc>
      </w:tr>
    </w:tbl>
    <w:p w14:paraId="7BA5BE8E" w14:textId="77777777" w:rsidR="00FB679C" w:rsidRPr="00FB679C" w:rsidRDefault="00FB679C" w:rsidP="00FB679C">
      <w:pPr>
        <w:spacing w:after="372" w:line="259" w:lineRule="auto"/>
        <w:ind w:left="10" w:hanging="10"/>
        <w:jc w:val="center"/>
        <w:rPr>
          <w:rFonts w:ascii="Times New Roman" w:hAnsi="Times New Roman" w:cs="Times New Roman"/>
          <w:b/>
          <w:bCs/>
        </w:rPr>
      </w:pPr>
      <w:r w:rsidRPr="00FB679C">
        <w:rPr>
          <w:rFonts w:ascii="Times New Roman" w:hAnsi="Times New Roman" w:cs="Times New Roman"/>
          <w:b/>
          <w:bCs/>
        </w:rPr>
        <w:t>Table 2: Covid-19 Vaccine Record Count</w:t>
      </w:r>
      <w:bookmarkStart w:id="0" w:name="_GoBack"/>
      <w:bookmarkEnd w:id="0"/>
      <w:r w:rsidRPr="00FB679C">
        <w:rPr>
          <w:rFonts w:ascii="Times New Roman" w:hAnsi="Times New Roman" w:cs="Times New Roman"/>
          <w:b/>
          <w:bCs/>
        </w:rPr>
        <w:t>s and Reaction Severity</w:t>
      </w:r>
    </w:p>
    <w:p w14:paraId="11199CE1" w14:textId="12F2DC66" w:rsidR="0011397F" w:rsidRPr="0011397F" w:rsidRDefault="0011397F" w:rsidP="0011397F">
      <w:pPr>
        <w:ind w:left="-15" w:right="91"/>
        <w:jc w:val="both"/>
        <w:rPr>
          <w:rFonts w:ascii="Times New Roman" w:hAnsi="Times New Roman" w:cs="Times New Roman"/>
        </w:rPr>
      </w:pPr>
      <w:r w:rsidRPr="00FB679C">
        <w:rPr>
          <w:rFonts w:ascii="Times New Roman" w:hAnsi="Times New Roman" w:cs="Times New Roman"/>
        </w:rPr>
        <w:t>However, the presence of adverse reports</w:t>
      </w:r>
      <w:r>
        <w:rPr>
          <w:rFonts w:ascii="Times New Roman" w:hAnsi="Times New Roman" w:cs="Times New Roman"/>
        </w:rPr>
        <w:t xml:space="preserve"> </w:t>
      </w:r>
      <w:r w:rsidRPr="0011397F">
        <w:rPr>
          <w:rFonts w:ascii="Times New Roman" w:hAnsi="Times New Roman" w:cs="Times New Roman"/>
        </w:rPr>
        <w:t>does not address the reaction severity such as mild versus life-threatening interactions. Looking at the life-threatening reactions, 2.38% of adverse reactions for Moderna required hospitalization and 5.15% died whereas for Janssen 0.62% required hospitalization and 0.60% died. Janssen had a larger percentage of adverse reaction reports, but many of the reactions were not life-threatening.</w:t>
      </w:r>
    </w:p>
    <w:p w14:paraId="1EA4230E" w14:textId="77777777" w:rsidR="0011397F" w:rsidRPr="0011397F" w:rsidRDefault="0011397F" w:rsidP="0011397F">
      <w:pPr>
        <w:ind w:left="-15" w:right="91"/>
        <w:jc w:val="both"/>
        <w:rPr>
          <w:rFonts w:ascii="Times New Roman" w:hAnsi="Times New Roman" w:cs="Times New Roman"/>
        </w:rPr>
      </w:pPr>
      <w:r w:rsidRPr="0011397F">
        <w:rPr>
          <w:rFonts w:ascii="Times New Roman" w:hAnsi="Times New Roman" w:cs="Times New Roman"/>
        </w:rPr>
        <w:t>There are a few unique circumstances that make these vaccines di</w:t>
      </w:r>
      <w:r w:rsidRPr="0011397F">
        <w:rPr>
          <w:rFonts w:ascii="Times New Roman" w:eastAsia="Calibri" w:hAnsi="Times New Roman" w:cs="Times New Roman"/>
        </w:rPr>
        <w:t>ff</w:t>
      </w:r>
      <w:r w:rsidRPr="0011397F">
        <w:rPr>
          <w:rFonts w:ascii="Times New Roman" w:hAnsi="Times New Roman" w:cs="Times New Roman"/>
        </w:rPr>
        <w:t>erent and can impact the distribution of adverse reactions. First and foremost is that all vaccines are dosed in multidose vials. Therefore this forces a batch system type distribution, limiting vaccinations to small groups of 5 or 10 individuals depending on the multi-dose vial. As such, vaccine distribution for such a limited resource make distribution a group e</w:t>
      </w:r>
      <w:r w:rsidRPr="0011397F">
        <w:rPr>
          <w:rFonts w:ascii="Times New Roman" w:eastAsia="Calibri" w:hAnsi="Times New Roman" w:cs="Times New Roman"/>
        </w:rPr>
        <w:t>ff</w:t>
      </w:r>
      <w:r w:rsidRPr="0011397F">
        <w:rPr>
          <w:rFonts w:ascii="Times New Roman" w:hAnsi="Times New Roman" w:cs="Times New Roman"/>
        </w:rPr>
        <w:t>ort, and not an individual process. It is unclear how this may, or may not, a</w:t>
      </w:r>
      <w:r w:rsidRPr="0011397F">
        <w:rPr>
          <w:rFonts w:ascii="Times New Roman" w:eastAsia="Calibri" w:hAnsi="Times New Roman" w:cs="Times New Roman"/>
        </w:rPr>
        <w:t>ff</w:t>
      </w:r>
      <w:r w:rsidRPr="0011397F">
        <w:rPr>
          <w:rFonts w:ascii="Times New Roman" w:hAnsi="Times New Roman" w:cs="Times New Roman"/>
        </w:rPr>
        <w:t>ect the reported adverse events.</w:t>
      </w:r>
    </w:p>
    <w:p w14:paraId="19E1A1B9" w14:textId="77777777" w:rsidR="0011397F" w:rsidRPr="0011397F" w:rsidRDefault="0011397F" w:rsidP="0011397F">
      <w:pPr>
        <w:ind w:left="-15" w:right="91"/>
        <w:jc w:val="both"/>
        <w:rPr>
          <w:rFonts w:ascii="Times New Roman" w:hAnsi="Times New Roman" w:cs="Times New Roman"/>
        </w:rPr>
      </w:pPr>
      <w:r w:rsidRPr="0011397F">
        <w:rPr>
          <w:rFonts w:ascii="Times New Roman" w:hAnsi="Times New Roman" w:cs="Times New Roman"/>
        </w:rPr>
        <w:t>Another confounding factor is the temperature at which the vaccine needs to be stored. As the pandemic was unfolding, the Pfizer vaccine needed to be stored at a temperature of -112 to -67 degree F. This limited the distribution of the Pfizer vaccine to facilities that had the proper equipment. Some vaccine locations could not properly store the vaccine, therefore introducing a selection bias into the process, as many small and/or rural facilities elected not to distribute the Pfizer vaccine. It is unclear how this a</w:t>
      </w:r>
      <w:r w:rsidRPr="0011397F">
        <w:rPr>
          <w:rFonts w:ascii="Times New Roman" w:eastAsia="Calibri" w:hAnsi="Times New Roman" w:cs="Times New Roman"/>
        </w:rPr>
        <w:t>ff</w:t>
      </w:r>
      <w:r w:rsidRPr="0011397F">
        <w:rPr>
          <w:rFonts w:ascii="Times New Roman" w:hAnsi="Times New Roman" w:cs="Times New Roman"/>
        </w:rPr>
        <w:t>ected the reported adverse events.</w:t>
      </w:r>
    </w:p>
    <w:p w14:paraId="0005F8EF" w14:textId="77777777" w:rsidR="0011397F" w:rsidRPr="0011397F" w:rsidRDefault="0011397F" w:rsidP="0011397F">
      <w:pPr>
        <w:ind w:left="-15" w:right="91"/>
        <w:jc w:val="both"/>
        <w:rPr>
          <w:rFonts w:ascii="Times New Roman" w:hAnsi="Times New Roman" w:cs="Times New Roman"/>
        </w:rPr>
      </w:pPr>
      <w:r w:rsidRPr="0011397F">
        <w:rPr>
          <w:rFonts w:ascii="Times New Roman" w:hAnsi="Times New Roman" w:cs="Times New Roman"/>
        </w:rPr>
        <w:t>With the process of vaccination, or 2 vaccines for certain individuals, there is also a concern that those individuals receiving only 1 of the 2 injections may not have had su</w:t>
      </w:r>
      <w:r w:rsidRPr="0011397F">
        <w:rPr>
          <w:rFonts w:ascii="Times New Roman" w:eastAsia="Calibri" w:hAnsi="Times New Roman" w:cs="Times New Roman"/>
        </w:rPr>
        <w:t>ffi</w:t>
      </w:r>
      <w:r w:rsidRPr="0011397F">
        <w:rPr>
          <w:rFonts w:ascii="Times New Roman" w:hAnsi="Times New Roman" w:cs="Times New Roman"/>
        </w:rPr>
        <w:t>cient vaccine to provide proper immunization.</w:t>
      </w:r>
    </w:p>
    <w:p w14:paraId="002BA5EF" w14:textId="77777777" w:rsidR="0011397F" w:rsidRPr="0011397F" w:rsidRDefault="0011397F" w:rsidP="0011397F">
      <w:pPr>
        <w:ind w:left="-15" w:right="91"/>
        <w:jc w:val="both"/>
        <w:rPr>
          <w:rFonts w:ascii="Times New Roman" w:hAnsi="Times New Roman" w:cs="Times New Roman"/>
        </w:rPr>
      </w:pPr>
      <w:r w:rsidRPr="0011397F">
        <w:rPr>
          <w:rFonts w:ascii="Times New Roman" w:hAnsi="Times New Roman" w:cs="Times New Roman"/>
        </w:rPr>
        <w:t>To answer Research Question 1 of which vaccine is associated with the fewest number of reported adverse reactions, the Pfizer vaccine had the fewest with 46.69%, however, Janssen had the fewest life-threatening reactions.</w:t>
      </w:r>
    </w:p>
    <w:p w14:paraId="0ECFF6C5" w14:textId="77777777" w:rsidR="0077236B" w:rsidRDefault="0077236B">
      <w:pPr>
        <w:spacing w:after="160" w:line="259" w:lineRule="auto"/>
        <w:rPr>
          <w:rFonts w:ascii="Calibri" w:eastAsia="Calibri" w:hAnsi="Calibri" w:cs="Calibri"/>
        </w:rPr>
      </w:pPr>
      <w:r>
        <w:rPr>
          <w:rFonts w:ascii="Calibri" w:eastAsia="Calibri" w:hAnsi="Calibri" w:cs="Calibri"/>
        </w:rPr>
        <w:br w:type="page"/>
      </w:r>
    </w:p>
    <w:p w14:paraId="6097B873" w14:textId="5B3A89C7" w:rsidR="00877979" w:rsidRDefault="00877979" w:rsidP="0077236B">
      <w:pPr>
        <w:ind w:left="-17" w:right="91"/>
        <w:jc w:val="both"/>
        <w:rPr>
          <w:rFonts w:ascii="Times New Roman" w:eastAsia="Calibri" w:hAnsi="Times New Roman" w:cs="Times New Roman"/>
          <w:b/>
          <w:bCs/>
          <w:i/>
          <w:iCs/>
        </w:rPr>
      </w:pPr>
      <w:r w:rsidRPr="00877979">
        <w:rPr>
          <w:rFonts w:ascii="Times New Roman" w:eastAsia="Calibri" w:hAnsi="Times New Roman" w:cs="Times New Roman"/>
          <w:b/>
          <w:bCs/>
          <w:i/>
          <w:iCs/>
        </w:rPr>
        <w:lastRenderedPageBreak/>
        <w:t>Which allergens are most associated with patient deaths for the covid-19 vaccines?</w:t>
      </w:r>
      <w:r>
        <w:rPr>
          <w:rFonts w:ascii="Times New Roman" w:eastAsia="Calibri" w:hAnsi="Times New Roman" w:cs="Times New Roman"/>
          <w:b/>
          <w:bCs/>
          <w:i/>
          <w:iCs/>
        </w:rPr>
        <w:br/>
      </w:r>
    </w:p>
    <w:p w14:paraId="2E1CF3C8" w14:textId="77777777" w:rsidR="0077236B" w:rsidRPr="0077236B" w:rsidRDefault="0077236B" w:rsidP="0077236B">
      <w:pPr>
        <w:spacing w:after="155"/>
        <w:ind w:left="-15" w:right="91"/>
        <w:jc w:val="both"/>
        <w:rPr>
          <w:rFonts w:ascii="Times New Roman" w:hAnsi="Times New Roman" w:cs="Times New Roman"/>
        </w:rPr>
      </w:pPr>
      <w:r w:rsidRPr="0077236B">
        <w:rPr>
          <w:rFonts w:ascii="Times New Roman" w:hAnsi="Times New Roman" w:cs="Times New Roman"/>
        </w:rPr>
        <w:t xml:space="preserve">To answer this research question we investigated common food, drug and environmental allergens and their co-occurrence with the three vaccines. Table </w:t>
      </w:r>
      <w:r w:rsidRPr="0077236B">
        <w:rPr>
          <w:rFonts w:ascii="Times New Roman" w:hAnsi="Times New Roman" w:cs="Times New Roman"/>
          <w:color w:val="auto"/>
        </w:rPr>
        <w:t>3</w:t>
      </w:r>
      <w:r w:rsidRPr="0077236B">
        <w:rPr>
          <w:rFonts w:ascii="Times New Roman" w:hAnsi="Times New Roman" w:cs="Times New Roman"/>
          <w:color w:val="FF0000"/>
        </w:rPr>
        <w:t xml:space="preserve"> </w:t>
      </w:r>
      <w:r w:rsidRPr="0077236B">
        <w:rPr>
          <w:rFonts w:ascii="Times New Roman" w:hAnsi="Times New Roman" w:cs="Times New Roman"/>
        </w:rPr>
        <w:t>lists the percentage of VAERS records in which a specific allergen was reported. For presentation clarity we excluded allergens where none of the vaccines exceeded 1.00% of adverse reports.</w:t>
      </w:r>
    </w:p>
    <w:tbl>
      <w:tblPr>
        <w:tblStyle w:val="TableGrid0"/>
        <w:tblW w:w="7529" w:type="dxa"/>
        <w:jc w:val="center"/>
        <w:tblInd w:w="0" w:type="dxa"/>
        <w:tblCellMar>
          <w:right w:w="115" w:type="dxa"/>
        </w:tblCellMar>
        <w:tblLook w:val="04A0" w:firstRow="1" w:lastRow="0" w:firstColumn="1" w:lastColumn="0" w:noHBand="0" w:noVBand="1"/>
      </w:tblPr>
      <w:tblGrid>
        <w:gridCol w:w="1190"/>
        <w:gridCol w:w="799"/>
        <w:gridCol w:w="1056"/>
        <w:gridCol w:w="1017"/>
        <w:gridCol w:w="913"/>
        <w:gridCol w:w="926"/>
        <w:gridCol w:w="830"/>
        <w:gridCol w:w="798"/>
      </w:tblGrid>
      <w:tr w:rsidR="0077236B" w14:paraId="6D418BA5" w14:textId="77777777" w:rsidTr="00EE2B22">
        <w:trPr>
          <w:trHeight w:val="330"/>
          <w:jc w:val="center"/>
        </w:trPr>
        <w:tc>
          <w:tcPr>
            <w:tcW w:w="1202" w:type="dxa"/>
            <w:tcBorders>
              <w:top w:val="nil"/>
              <w:left w:val="nil"/>
              <w:bottom w:val="single" w:sz="4" w:space="0" w:color="000000"/>
              <w:right w:val="nil"/>
            </w:tcBorders>
          </w:tcPr>
          <w:p w14:paraId="1E6AAD08" w14:textId="77777777" w:rsidR="0077236B" w:rsidRDefault="0077236B" w:rsidP="00985BDF">
            <w:pPr>
              <w:spacing w:line="259" w:lineRule="auto"/>
              <w:ind w:left="120"/>
            </w:pPr>
            <w:r>
              <w:t>Vaccine</w:t>
            </w:r>
          </w:p>
        </w:tc>
        <w:tc>
          <w:tcPr>
            <w:tcW w:w="806" w:type="dxa"/>
            <w:tcBorders>
              <w:top w:val="nil"/>
              <w:left w:val="nil"/>
              <w:bottom w:val="single" w:sz="4" w:space="0" w:color="000000"/>
              <w:right w:val="nil"/>
            </w:tcBorders>
          </w:tcPr>
          <w:p w14:paraId="7D7CCF90" w14:textId="77777777" w:rsidR="0077236B" w:rsidRDefault="0077236B" w:rsidP="00985BDF">
            <w:pPr>
              <w:spacing w:line="259" w:lineRule="auto"/>
              <w:ind w:left="202"/>
            </w:pPr>
            <w:proofErr w:type="spellStart"/>
            <w:r>
              <w:t>Egg</w:t>
            </w:r>
            <w:proofErr w:type="spellEnd"/>
          </w:p>
        </w:tc>
        <w:tc>
          <w:tcPr>
            <w:tcW w:w="1095" w:type="dxa"/>
            <w:tcBorders>
              <w:top w:val="nil"/>
              <w:left w:val="nil"/>
              <w:bottom w:val="single" w:sz="4" w:space="0" w:color="000000"/>
              <w:right w:val="nil"/>
            </w:tcBorders>
          </w:tcPr>
          <w:p w14:paraId="3833C857" w14:textId="77777777" w:rsidR="0077236B" w:rsidRDefault="0077236B" w:rsidP="00985BDF">
            <w:pPr>
              <w:spacing w:line="259" w:lineRule="auto"/>
            </w:pPr>
            <w:r>
              <w:t>Tree Nut</w:t>
            </w:r>
          </w:p>
        </w:tc>
        <w:tc>
          <w:tcPr>
            <w:tcW w:w="1024" w:type="dxa"/>
            <w:tcBorders>
              <w:top w:val="nil"/>
              <w:left w:val="nil"/>
              <w:bottom w:val="single" w:sz="4" w:space="0" w:color="000000"/>
              <w:right w:val="nil"/>
            </w:tcBorders>
          </w:tcPr>
          <w:p w14:paraId="3599835A" w14:textId="77777777" w:rsidR="0077236B" w:rsidRDefault="0077236B" w:rsidP="00985BDF">
            <w:pPr>
              <w:spacing w:line="259" w:lineRule="auto"/>
            </w:pPr>
            <w:proofErr w:type="spellStart"/>
            <w:r>
              <w:t>Shellfish</w:t>
            </w:r>
            <w:proofErr w:type="spellEnd"/>
          </w:p>
        </w:tc>
        <w:tc>
          <w:tcPr>
            <w:tcW w:w="914" w:type="dxa"/>
            <w:tcBorders>
              <w:top w:val="nil"/>
              <w:left w:val="nil"/>
              <w:bottom w:val="single" w:sz="4" w:space="0" w:color="000000"/>
              <w:right w:val="nil"/>
            </w:tcBorders>
          </w:tcPr>
          <w:p w14:paraId="5D50F40D" w14:textId="77777777" w:rsidR="0077236B" w:rsidRDefault="0077236B" w:rsidP="00985BDF">
            <w:pPr>
              <w:spacing w:line="259" w:lineRule="auto"/>
              <w:ind w:left="108"/>
            </w:pPr>
            <w:r>
              <w:t>*</w:t>
            </w:r>
            <w:proofErr w:type="spellStart"/>
            <w:r>
              <w:t>cillin</w:t>
            </w:r>
            <w:proofErr w:type="spellEnd"/>
          </w:p>
        </w:tc>
        <w:tc>
          <w:tcPr>
            <w:tcW w:w="933" w:type="dxa"/>
            <w:tcBorders>
              <w:top w:val="nil"/>
              <w:left w:val="nil"/>
              <w:bottom w:val="single" w:sz="4" w:space="0" w:color="000000"/>
              <w:right w:val="nil"/>
            </w:tcBorders>
          </w:tcPr>
          <w:p w14:paraId="05AF8732" w14:textId="77777777" w:rsidR="0077236B" w:rsidRDefault="0077236B" w:rsidP="00985BDF">
            <w:pPr>
              <w:spacing w:line="259" w:lineRule="auto"/>
            </w:pPr>
            <w:proofErr w:type="spellStart"/>
            <w:r>
              <w:t>Aspirin</w:t>
            </w:r>
            <w:proofErr w:type="spellEnd"/>
          </w:p>
        </w:tc>
        <w:tc>
          <w:tcPr>
            <w:tcW w:w="848" w:type="dxa"/>
            <w:tcBorders>
              <w:top w:val="nil"/>
              <w:left w:val="nil"/>
              <w:bottom w:val="single" w:sz="4" w:space="0" w:color="000000"/>
              <w:right w:val="nil"/>
            </w:tcBorders>
          </w:tcPr>
          <w:p w14:paraId="39E22EEE" w14:textId="77777777" w:rsidR="0077236B" w:rsidRDefault="0077236B" w:rsidP="00985BDF">
            <w:pPr>
              <w:spacing w:line="259" w:lineRule="auto"/>
              <w:ind w:left="90"/>
            </w:pPr>
            <w:r>
              <w:t>Sulfa</w:t>
            </w:r>
          </w:p>
        </w:tc>
        <w:tc>
          <w:tcPr>
            <w:tcW w:w="707" w:type="dxa"/>
            <w:tcBorders>
              <w:top w:val="nil"/>
              <w:left w:val="nil"/>
              <w:bottom w:val="single" w:sz="4" w:space="0" w:color="000000"/>
              <w:right w:val="nil"/>
            </w:tcBorders>
          </w:tcPr>
          <w:p w14:paraId="352F28EB" w14:textId="77777777" w:rsidR="0077236B" w:rsidRDefault="0077236B" w:rsidP="00985BDF">
            <w:pPr>
              <w:spacing w:line="259" w:lineRule="auto"/>
            </w:pPr>
            <w:r>
              <w:t>Pollen</w:t>
            </w:r>
          </w:p>
        </w:tc>
      </w:tr>
      <w:tr w:rsidR="0077236B" w14:paraId="6E984EEA" w14:textId="77777777" w:rsidTr="00EE2B22">
        <w:trPr>
          <w:trHeight w:val="324"/>
          <w:jc w:val="center"/>
        </w:trPr>
        <w:tc>
          <w:tcPr>
            <w:tcW w:w="1202" w:type="dxa"/>
            <w:tcBorders>
              <w:top w:val="single" w:sz="4" w:space="0" w:color="000000"/>
              <w:left w:val="nil"/>
              <w:bottom w:val="nil"/>
              <w:right w:val="nil"/>
            </w:tcBorders>
          </w:tcPr>
          <w:p w14:paraId="069735B3" w14:textId="77777777" w:rsidR="0077236B" w:rsidRDefault="0077236B" w:rsidP="00985BDF">
            <w:pPr>
              <w:spacing w:line="259" w:lineRule="auto"/>
              <w:ind w:left="120"/>
            </w:pPr>
            <w:r>
              <w:t>Moderna</w:t>
            </w:r>
          </w:p>
        </w:tc>
        <w:tc>
          <w:tcPr>
            <w:tcW w:w="806" w:type="dxa"/>
            <w:tcBorders>
              <w:top w:val="single" w:sz="4" w:space="0" w:color="000000"/>
              <w:left w:val="nil"/>
              <w:bottom w:val="nil"/>
              <w:right w:val="nil"/>
            </w:tcBorders>
          </w:tcPr>
          <w:p w14:paraId="71F3D822" w14:textId="77777777" w:rsidR="0077236B" w:rsidRDefault="0077236B" w:rsidP="00985BDF">
            <w:pPr>
              <w:spacing w:line="259" w:lineRule="auto"/>
            </w:pPr>
            <w:r>
              <w:t>0.81%</w:t>
            </w:r>
          </w:p>
        </w:tc>
        <w:tc>
          <w:tcPr>
            <w:tcW w:w="1095" w:type="dxa"/>
            <w:tcBorders>
              <w:top w:val="single" w:sz="4" w:space="0" w:color="000000"/>
              <w:left w:val="nil"/>
              <w:bottom w:val="nil"/>
              <w:right w:val="nil"/>
            </w:tcBorders>
          </w:tcPr>
          <w:p w14:paraId="32B794D3" w14:textId="77777777" w:rsidR="0077236B" w:rsidRDefault="0077236B" w:rsidP="00985BDF">
            <w:pPr>
              <w:spacing w:line="259" w:lineRule="auto"/>
              <w:ind w:left="165"/>
              <w:jc w:val="center"/>
            </w:pPr>
            <w:r>
              <w:t>0.93%</w:t>
            </w:r>
          </w:p>
        </w:tc>
        <w:tc>
          <w:tcPr>
            <w:tcW w:w="1024" w:type="dxa"/>
            <w:tcBorders>
              <w:top w:val="single" w:sz="4" w:space="0" w:color="000000"/>
              <w:left w:val="nil"/>
              <w:bottom w:val="nil"/>
              <w:right w:val="nil"/>
            </w:tcBorders>
          </w:tcPr>
          <w:p w14:paraId="47D541E3" w14:textId="77777777" w:rsidR="0077236B" w:rsidRDefault="0077236B" w:rsidP="00985BDF">
            <w:pPr>
              <w:spacing w:line="259" w:lineRule="auto"/>
              <w:ind w:left="218"/>
            </w:pPr>
            <w:r>
              <w:t>2.00%</w:t>
            </w:r>
          </w:p>
        </w:tc>
        <w:tc>
          <w:tcPr>
            <w:tcW w:w="914" w:type="dxa"/>
            <w:tcBorders>
              <w:top w:val="single" w:sz="4" w:space="0" w:color="000000"/>
              <w:left w:val="nil"/>
              <w:bottom w:val="nil"/>
              <w:right w:val="nil"/>
            </w:tcBorders>
          </w:tcPr>
          <w:p w14:paraId="5B4D7622" w14:textId="77777777" w:rsidR="0077236B" w:rsidRDefault="0077236B" w:rsidP="00985BDF">
            <w:pPr>
              <w:spacing w:line="259" w:lineRule="auto"/>
            </w:pPr>
            <w:r>
              <w:rPr>
                <w:color w:val="FF0000"/>
              </w:rPr>
              <w:t>11.49%</w:t>
            </w:r>
          </w:p>
        </w:tc>
        <w:tc>
          <w:tcPr>
            <w:tcW w:w="933" w:type="dxa"/>
            <w:tcBorders>
              <w:top w:val="single" w:sz="4" w:space="0" w:color="000000"/>
              <w:left w:val="nil"/>
              <w:bottom w:val="nil"/>
              <w:right w:val="nil"/>
            </w:tcBorders>
          </w:tcPr>
          <w:p w14:paraId="45B9D9EE" w14:textId="77777777" w:rsidR="0077236B" w:rsidRDefault="0077236B" w:rsidP="00985BDF">
            <w:pPr>
              <w:spacing w:line="259" w:lineRule="auto"/>
              <w:ind w:left="128"/>
            </w:pPr>
            <w:r>
              <w:t>0.99%</w:t>
            </w:r>
          </w:p>
        </w:tc>
        <w:tc>
          <w:tcPr>
            <w:tcW w:w="848" w:type="dxa"/>
            <w:tcBorders>
              <w:top w:val="single" w:sz="4" w:space="0" w:color="000000"/>
              <w:left w:val="nil"/>
              <w:bottom w:val="nil"/>
              <w:right w:val="nil"/>
            </w:tcBorders>
          </w:tcPr>
          <w:p w14:paraId="05EA68AA" w14:textId="77777777" w:rsidR="0077236B" w:rsidRDefault="0077236B" w:rsidP="00985BDF">
            <w:pPr>
              <w:spacing w:line="259" w:lineRule="auto"/>
            </w:pPr>
            <w:r>
              <w:rPr>
                <w:color w:val="FF0000"/>
              </w:rPr>
              <w:t>9.66%</w:t>
            </w:r>
          </w:p>
        </w:tc>
        <w:tc>
          <w:tcPr>
            <w:tcW w:w="707" w:type="dxa"/>
            <w:tcBorders>
              <w:top w:val="single" w:sz="4" w:space="0" w:color="000000"/>
              <w:left w:val="nil"/>
              <w:bottom w:val="nil"/>
              <w:right w:val="nil"/>
            </w:tcBorders>
          </w:tcPr>
          <w:p w14:paraId="0CBDF623" w14:textId="77777777" w:rsidR="0077236B" w:rsidRDefault="0077236B" w:rsidP="00985BDF">
            <w:pPr>
              <w:spacing w:line="259" w:lineRule="auto"/>
              <w:ind w:left="21"/>
            </w:pPr>
            <w:r>
              <w:t>0.98%</w:t>
            </w:r>
          </w:p>
        </w:tc>
      </w:tr>
      <w:tr w:rsidR="0077236B" w14:paraId="076CAD72" w14:textId="77777777" w:rsidTr="00EE2B22">
        <w:trPr>
          <w:trHeight w:val="271"/>
          <w:jc w:val="center"/>
        </w:trPr>
        <w:tc>
          <w:tcPr>
            <w:tcW w:w="1202" w:type="dxa"/>
            <w:tcBorders>
              <w:top w:val="nil"/>
              <w:left w:val="nil"/>
              <w:bottom w:val="nil"/>
              <w:right w:val="nil"/>
            </w:tcBorders>
          </w:tcPr>
          <w:p w14:paraId="64185BAB" w14:textId="77777777" w:rsidR="0077236B" w:rsidRDefault="0077236B" w:rsidP="00985BDF">
            <w:pPr>
              <w:spacing w:line="259" w:lineRule="auto"/>
              <w:ind w:left="120"/>
            </w:pPr>
            <w:r>
              <w:t>Pfizer</w:t>
            </w:r>
          </w:p>
        </w:tc>
        <w:tc>
          <w:tcPr>
            <w:tcW w:w="806" w:type="dxa"/>
            <w:tcBorders>
              <w:top w:val="nil"/>
              <w:left w:val="nil"/>
              <w:bottom w:val="nil"/>
              <w:right w:val="nil"/>
            </w:tcBorders>
          </w:tcPr>
          <w:p w14:paraId="1581A848" w14:textId="77777777" w:rsidR="0077236B" w:rsidRDefault="0077236B" w:rsidP="00985BDF">
            <w:pPr>
              <w:spacing w:line="259" w:lineRule="auto"/>
            </w:pPr>
            <w:r>
              <w:t>0.74%</w:t>
            </w:r>
          </w:p>
        </w:tc>
        <w:tc>
          <w:tcPr>
            <w:tcW w:w="1095" w:type="dxa"/>
            <w:tcBorders>
              <w:top w:val="nil"/>
              <w:left w:val="nil"/>
              <w:bottom w:val="nil"/>
              <w:right w:val="nil"/>
            </w:tcBorders>
          </w:tcPr>
          <w:p w14:paraId="2A21A0FC" w14:textId="77777777" w:rsidR="0077236B" w:rsidRDefault="0077236B" w:rsidP="00985BDF">
            <w:pPr>
              <w:spacing w:line="259" w:lineRule="auto"/>
              <w:ind w:left="165"/>
              <w:jc w:val="center"/>
            </w:pPr>
            <w:r>
              <w:t>1.09%</w:t>
            </w:r>
          </w:p>
        </w:tc>
        <w:tc>
          <w:tcPr>
            <w:tcW w:w="1024" w:type="dxa"/>
            <w:tcBorders>
              <w:top w:val="nil"/>
              <w:left w:val="nil"/>
              <w:bottom w:val="nil"/>
              <w:right w:val="nil"/>
            </w:tcBorders>
          </w:tcPr>
          <w:p w14:paraId="67299A51" w14:textId="77777777" w:rsidR="0077236B" w:rsidRDefault="0077236B" w:rsidP="00985BDF">
            <w:pPr>
              <w:spacing w:line="259" w:lineRule="auto"/>
              <w:ind w:left="218"/>
            </w:pPr>
            <w:r>
              <w:t>2.06%</w:t>
            </w:r>
          </w:p>
        </w:tc>
        <w:tc>
          <w:tcPr>
            <w:tcW w:w="914" w:type="dxa"/>
            <w:tcBorders>
              <w:top w:val="nil"/>
              <w:left w:val="nil"/>
              <w:bottom w:val="nil"/>
              <w:right w:val="nil"/>
            </w:tcBorders>
          </w:tcPr>
          <w:p w14:paraId="42120D29" w14:textId="77777777" w:rsidR="0077236B" w:rsidRDefault="0077236B" w:rsidP="00985BDF">
            <w:pPr>
              <w:spacing w:line="259" w:lineRule="auto"/>
            </w:pPr>
            <w:r>
              <w:rPr>
                <w:color w:val="FF0000"/>
              </w:rPr>
              <w:t>11.13%</w:t>
            </w:r>
          </w:p>
        </w:tc>
        <w:tc>
          <w:tcPr>
            <w:tcW w:w="933" w:type="dxa"/>
            <w:tcBorders>
              <w:top w:val="nil"/>
              <w:left w:val="nil"/>
              <w:bottom w:val="nil"/>
              <w:right w:val="nil"/>
            </w:tcBorders>
          </w:tcPr>
          <w:p w14:paraId="498FC1C6" w14:textId="77777777" w:rsidR="0077236B" w:rsidRDefault="0077236B" w:rsidP="00985BDF">
            <w:pPr>
              <w:spacing w:line="259" w:lineRule="auto"/>
              <w:ind w:left="128"/>
            </w:pPr>
            <w:r>
              <w:t>1.21%</w:t>
            </w:r>
          </w:p>
        </w:tc>
        <w:tc>
          <w:tcPr>
            <w:tcW w:w="848" w:type="dxa"/>
            <w:tcBorders>
              <w:top w:val="nil"/>
              <w:left w:val="nil"/>
              <w:bottom w:val="nil"/>
              <w:right w:val="nil"/>
            </w:tcBorders>
          </w:tcPr>
          <w:p w14:paraId="2B09A7A4" w14:textId="77777777" w:rsidR="0077236B" w:rsidRDefault="0077236B" w:rsidP="00985BDF">
            <w:pPr>
              <w:spacing w:line="259" w:lineRule="auto"/>
            </w:pPr>
            <w:r>
              <w:rPr>
                <w:color w:val="FF0000"/>
              </w:rPr>
              <w:t>9.70%</w:t>
            </w:r>
          </w:p>
        </w:tc>
        <w:tc>
          <w:tcPr>
            <w:tcW w:w="707" w:type="dxa"/>
            <w:tcBorders>
              <w:top w:val="nil"/>
              <w:left w:val="nil"/>
              <w:bottom w:val="nil"/>
              <w:right w:val="nil"/>
            </w:tcBorders>
          </w:tcPr>
          <w:p w14:paraId="2C7108D5" w14:textId="77777777" w:rsidR="0077236B" w:rsidRDefault="0077236B" w:rsidP="00985BDF">
            <w:pPr>
              <w:spacing w:line="259" w:lineRule="auto"/>
              <w:ind w:left="21"/>
            </w:pPr>
            <w:r>
              <w:t>0.99%</w:t>
            </w:r>
          </w:p>
        </w:tc>
      </w:tr>
      <w:tr w:rsidR="0077236B" w14:paraId="7C18D7CA" w14:textId="77777777" w:rsidTr="00EE2B22">
        <w:trPr>
          <w:trHeight w:val="331"/>
          <w:jc w:val="center"/>
        </w:trPr>
        <w:tc>
          <w:tcPr>
            <w:tcW w:w="1202" w:type="dxa"/>
            <w:tcBorders>
              <w:top w:val="nil"/>
              <w:left w:val="nil"/>
              <w:bottom w:val="single" w:sz="7" w:space="0" w:color="000000"/>
              <w:right w:val="nil"/>
            </w:tcBorders>
          </w:tcPr>
          <w:p w14:paraId="6F46AEA0" w14:textId="77777777" w:rsidR="0077236B" w:rsidRDefault="0077236B" w:rsidP="00985BDF">
            <w:pPr>
              <w:spacing w:line="259" w:lineRule="auto"/>
              <w:ind w:left="120"/>
            </w:pPr>
            <w:r>
              <w:t>Janssen</w:t>
            </w:r>
          </w:p>
        </w:tc>
        <w:tc>
          <w:tcPr>
            <w:tcW w:w="806" w:type="dxa"/>
            <w:tcBorders>
              <w:top w:val="nil"/>
              <w:left w:val="nil"/>
              <w:bottom w:val="single" w:sz="7" w:space="0" w:color="000000"/>
              <w:right w:val="nil"/>
            </w:tcBorders>
          </w:tcPr>
          <w:p w14:paraId="05A62385" w14:textId="77777777" w:rsidR="0077236B" w:rsidRDefault="0077236B" w:rsidP="00985BDF">
            <w:pPr>
              <w:spacing w:line="259" w:lineRule="auto"/>
            </w:pPr>
            <w:r>
              <w:t>1.02%</w:t>
            </w:r>
          </w:p>
        </w:tc>
        <w:tc>
          <w:tcPr>
            <w:tcW w:w="1095" w:type="dxa"/>
            <w:tcBorders>
              <w:top w:val="nil"/>
              <w:left w:val="nil"/>
              <w:bottom w:val="single" w:sz="7" w:space="0" w:color="000000"/>
              <w:right w:val="nil"/>
            </w:tcBorders>
          </w:tcPr>
          <w:p w14:paraId="51AD4E4D" w14:textId="77777777" w:rsidR="0077236B" w:rsidRDefault="0077236B" w:rsidP="00985BDF">
            <w:pPr>
              <w:spacing w:line="259" w:lineRule="auto"/>
              <w:ind w:left="165"/>
              <w:jc w:val="center"/>
            </w:pPr>
            <w:r>
              <w:t>1.25%</w:t>
            </w:r>
          </w:p>
        </w:tc>
        <w:tc>
          <w:tcPr>
            <w:tcW w:w="1024" w:type="dxa"/>
            <w:tcBorders>
              <w:top w:val="nil"/>
              <w:left w:val="nil"/>
              <w:bottom w:val="single" w:sz="7" w:space="0" w:color="000000"/>
              <w:right w:val="nil"/>
            </w:tcBorders>
          </w:tcPr>
          <w:p w14:paraId="00A1C787" w14:textId="77777777" w:rsidR="0077236B" w:rsidRDefault="0077236B" w:rsidP="00985BDF">
            <w:pPr>
              <w:spacing w:line="259" w:lineRule="auto"/>
              <w:ind w:left="218"/>
            </w:pPr>
            <w:r>
              <w:t>1.77%</w:t>
            </w:r>
          </w:p>
        </w:tc>
        <w:tc>
          <w:tcPr>
            <w:tcW w:w="914" w:type="dxa"/>
            <w:tcBorders>
              <w:top w:val="nil"/>
              <w:left w:val="nil"/>
              <w:bottom w:val="single" w:sz="7" w:space="0" w:color="000000"/>
              <w:right w:val="nil"/>
            </w:tcBorders>
          </w:tcPr>
          <w:p w14:paraId="59703A91" w14:textId="77777777" w:rsidR="0077236B" w:rsidRDefault="0077236B" w:rsidP="00985BDF">
            <w:pPr>
              <w:spacing w:line="259" w:lineRule="auto"/>
            </w:pPr>
            <w:r>
              <w:rPr>
                <w:color w:val="FF0000"/>
              </w:rPr>
              <w:t>11.92%</w:t>
            </w:r>
          </w:p>
        </w:tc>
        <w:tc>
          <w:tcPr>
            <w:tcW w:w="933" w:type="dxa"/>
            <w:tcBorders>
              <w:top w:val="nil"/>
              <w:left w:val="nil"/>
              <w:bottom w:val="single" w:sz="7" w:space="0" w:color="000000"/>
              <w:right w:val="nil"/>
            </w:tcBorders>
          </w:tcPr>
          <w:p w14:paraId="4183B32E" w14:textId="77777777" w:rsidR="0077236B" w:rsidRDefault="0077236B" w:rsidP="00985BDF">
            <w:pPr>
              <w:spacing w:line="259" w:lineRule="auto"/>
              <w:ind w:left="128"/>
            </w:pPr>
            <w:r>
              <w:t>0.95%</w:t>
            </w:r>
          </w:p>
        </w:tc>
        <w:tc>
          <w:tcPr>
            <w:tcW w:w="848" w:type="dxa"/>
            <w:tcBorders>
              <w:top w:val="nil"/>
              <w:left w:val="nil"/>
              <w:bottom w:val="single" w:sz="7" w:space="0" w:color="000000"/>
              <w:right w:val="nil"/>
            </w:tcBorders>
          </w:tcPr>
          <w:p w14:paraId="747DBD3B" w14:textId="77777777" w:rsidR="0077236B" w:rsidRDefault="0077236B" w:rsidP="00985BDF">
            <w:pPr>
              <w:spacing w:line="259" w:lineRule="auto"/>
            </w:pPr>
            <w:r>
              <w:rPr>
                <w:color w:val="FF0000"/>
              </w:rPr>
              <w:t>7.22%</w:t>
            </w:r>
          </w:p>
        </w:tc>
        <w:tc>
          <w:tcPr>
            <w:tcW w:w="707" w:type="dxa"/>
            <w:tcBorders>
              <w:top w:val="nil"/>
              <w:left w:val="nil"/>
              <w:bottom w:val="single" w:sz="7" w:space="0" w:color="000000"/>
              <w:right w:val="nil"/>
            </w:tcBorders>
          </w:tcPr>
          <w:p w14:paraId="16D17241" w14:textId="77777777" w:rsidR="0077236B" w:rsidRDefault="0077236B" w:rsidP="00985BDF">
            <w:pPr>
              <w:spacing w:line="259" w:lineRule="auto"/>
              <w:ind w:left="21"/>
            </w:pPr>
            <w:r>
              <w:t>1.54%</w:t>
            </w:r>
          </w:p>
        </w:tc>
      </w:tr>
    </w:tbl>
    <w:p w14:paraId="79DCFE83" w14:textId="565567A8" w:rsidR="0077236B" w:rsidRDefault="0077236B" w:rsidP="0077236B">
      <w:pPr>
        <w:ind w:left="-17" w:right="91"/>
        <w:jc w:val="both"/>
        <w:rPr>
          <w:rFonts w:ascii="Times New Roman" w:eastAsia="Calibri" w:hAnsi="Times New Roman" w:cs="Times New Roman"/>
          <w:b/>
          <w:bCs/>
          <w:i/>
          <w:iCs/>
        </w:rPr>
      </w:pPr>
    </w:p>
    <w:p w14:paraId="35267891" w14:textId="384EF1F7" w:rsidR="00EE2B22" w:rsidRPr="00EE2B22" w:rsidRDefault="00EE2B22" w:rsidP="00EE2B22">
      <w:pPr>
        <w:spacing w:after="372" w:line="259" w:lineRule="auto"/>
        <w:ind w:left="10" w:hanging="10"/>
        <w:jc w:val="center"/>
        <w:rPr>
          <w:rFonts w:ascii="Times New Roman" w:hAnsi="Times New Roman" w:cs="Times New Roman"/>
          <w:b/>
          <w:bCs/>
        </w:rPr>
      </w:pPr>
      <w:r w:rsidRPr="00EE2B22">
        <w:rPr>
          <w:rFonts w:ascii="Times New Roman" w:hAnsi="Times New Roman" w:cs="Times New Roman"/>
          <w:b/>
          <w:bCs/>
        </w:rPr>
        <w:t>Table 3</w:t>
      </w:r>
      <w:r w:rsidRPr="00EE2B22">
        <w:rPr>
          <w:rFonts w:ascii="Times New Roman" w:hAnsi="Times New Roman" w:cs="Times New Roman"/>
          <w:b/>
          <w:bCs/>
        </w:rPr>
        <w:t>:</w:t>
      </w:r>
      <w:r w:rsidRPr="00EE2B22">
        <w:rPr>
          <w:rFonts w:ascii="Times New Roman" w:hAnsi="Times New Roman" w:cs="Times New Roman"/>
          <w:b/>
          <w:bCs/>
        </w:rPr>
        <w:t xml:space="preserve"> lists the percentage of VAERS records </w:t>
      </w:r>
      <w:r>
        <w:rPr>
          <w:rFonts w:ascii="Times New Roman" w:hAnsi="Times New Roman" w:cs="Times New Roman"/>
          <w:b/>
          <w:bCs/>
        </w:rPr>
        <w:t>with</w:t>
      </w:r>
      <w:r w:rsidRPr="00EE2B22">
        <w:rPr>
          <w:rFonts w:ascii="Times New Roman" w:hAnsi="Times New Roman" w:cs="Times New Roman"/>
          <w:b/>
          <w:bCs/>
        </w:rPr>
        <w:t xml:space="preserve"> specific allergen reported</w:t>
      </w:r>
    </w:p>
    <w:p w14:paraId="25BB6720" w14:textId="0FBE0E42" w:rsidR="006562CA" w:rsidRPr="006562CA" w:rsidRDefault="006562CA" w:rsidP="006562CA">
      <w:pPr>
        <w:ind w:left="-15" w:right="91"/>
        <w:jc w:val="both"/>
        <w:rPr>
          <w:rFonts w:ascii="Times New Roman" w:hAnsi="Times New Roman" w:cs="Times New Roman"/>
        </w:rPr>
      </w:pPr>
      <w:r w:rsidRPr="006562CA">
        <w:rPr>
          <w:rFonts w:ascii="Times New Roman" w:hAnsi="Times New Roman" w:cs="Times New Roman"/>
        </w:rPr>
        <w:t>From this data both the *</w:t>
      </w:r>
      <w:proofErr w:type="spellStart"/>
      <w:r w:rsidRPr="006562CA">
        <w:rPr>
          <w:rFonts w:ascii="Times New Roman" w:hAnsi="Times New Roman" w:cs="Times New Roman"/>
        </w:rPr>
        <w:t>cillin</w:t>
      </w:r>
      <w:proofErr w:type="spellEnd"/>
      <w:r w:rsidRPr="006562CA">
        <w:rPr>
          <w:rFonts w:ascii="Times New Roman" w:hAnsi="Times New Roman" w:cs="Times New Roman"/>
        </w:rPr>
        <w:t xml:space="preserve"> and Sulfa family of drugs had the highest proportion of reported adverse reactions across all three vaccines. It was interesting to note the similarity of proportion across all three vaccines. These numbers indicate that for 11% and 9% of adverse reactions, *</w:t>
      </w:r>
      <w:proofErr w:type="spellStart"/>
      <w:r w:rsidRPr="006562CA">
        <w:rPr>
          <w:rFonts w:ascii="Times New Roman" w:hAnsi="Times New Roman" w:cs="Times New Roman"/>
        </w:rPr>
        <w:t>cillin</w:t>
      </w:r>
      <w:proofErr w:type="spellEnd"/>
      <w:r w:rsidRPr="006562CA">
        <w:rPr>
          <w:rFonts w:ascii="Times New Roman" w:hAnsi="Times New Roman" w:cs="Times New Roman"/>
        </w:rPr>
        <w:t xml:space="preserve"> and Sulfa drugs were present respectively. While we do not possess data for allergy patients that did not have an adverse reaction, the relative di</w:t>
      </w:r>
      <w:r w:rsidRPr="006562CA">
        <w:rPr>
          <w:rFonts w:ascii="Times New Roman" w:eastAsia="Calibri" w:hAnsi="Times New Roman" w:cs="Times New Roman"/>
        </w:rPr>
        <w:t>ff</w:t>
      </w:r>
      <w:r w:rsidRPr="006562CA">
        <w:rPr>
          <w:rFonts w:ascii="Times New Roman" w:hAnsi="Times New Roman" w:cs="Times New Roman"/>
        </w:rPr>
        <w:t>erence in reaction percentages is still a cause for concern for those patients with *</w:t>
      </w:r>
      <w:proofErr w:type="spellStart"/>
      <w:r w:rsidRPr="006562CA">
        <w:rPr>
          <w:rFonts w:ascii="Times New Roman" w:hAnsi="Times New Roman" w:cs="Times New Roman"/>
        </w:rPr>
        <w:t>cillin</w:t>
      </w:r>
      <w:proofErr w:type="spellEnd"/>
      <w:r w:rsidRPr="006562CA">
        <w:rPr>
          <w:rFonts w:ascii="Times New Roman" w:hAnsi="Times New Roman" w:cs="Times New Roman"/>
        </w:rPr>
        <w:t xml:space="preserve"> and Sulfa allergies.</w:t>
      </w:r>
    </w:p>
    <w:p w14:paraId="21700693" w14:textId="77777777" w:rsidR="006562CA" w:rsidRPr="006562CA" w:rsidRDefault="006562CA" w:rsidP="006562CA">
      <w:pPr>
        <w:ind w:left="-15" w:right="91"/>
        <w:jc w:val="both"/>
        <w:rPr>
          <w:rFonts w:ascii="Times New Roman" w:hAnsi="Times New Roman" w:cs="Times New Roman"/>
        </w:rPr>
      </w:pPr>
      <w:r w:rsidRPr="006562CA">
        <w:rPr>
          <w:rFonts w:ascii="Times New Roman" w:hAnsi="Times New Roman" w:cs="Times New Roman"/>
        </w:rPr>
        <w:t>If we were to look at the occurrence of patient adverse records containing both *</w:t>
      </w:r>
      <w:proofErr w:type="spellStart"/>
      <w:r w:rsidRPr="006562CA">
        <w:rPr>
          <w:rFonts w:ascii="Times New Roman" w:hAnsi="Times New Roman" w:cs="Times New Roman"/>
        </w:rPr>
        <w:t>cillin</w:t>
      </w:r>
      <w:proofErr w:type="spellEnd"/>
      <w:r w:rsidRPr="006562CA">
        <w:rPr>
          <w:rFonts w:ascii="Times New Roman" w:hAnsi="Times New Roman" w:cs="Times New Roman"/>
        </w:rPr>
        <w:t xml:space="preserve"> and Sulfa drugs, this combination accounted for 1.98% of Moderna reactions, 1.95% for Pfizer and 1.75% for Janssen; much smaller by comparison.</w:t>
      </w:r>
    </w:p>
    <w:p w14:paraId="61B907F9" w14:textId="77777777" w:rsidR="006562CA" w:rsidRPr="006562CA" w:rsidRDefault="006562CA" w:rsidP="006562CA">
      <w:pPr>
        <w:ind w:left="-15" w:right="91"/>
        <w:jc w:val="both"/>
        <w:rPr>
          <w:rFonts w:ascii="Times New Roman" w:hAnsi="Times New Roman" w:cs="Times New Roman"/>
        </w:rPr>
      </w:pPr>
      <w:r w:rsidRPr="006562CA">
        <w:rPr>
          <w:rFonts w:ascii="Times New Roman" w:hAnsi="Times New Roman" w:cs="Times New Roman"/>
        </w:rPr>
        <w:t xml:space="preserve">Analyzing allergens through the prism of patient death for food, drug and environment are Tables </w:t>
      </w:r>
      <w:r w:rsidRPr="006562CA">
        <w:rPr>
          <w:rFonts w:ascii="Times New Roman" w:hAnsi="Times New Roman" w:cs="Times New Roman"/>
          <w:color w:val="auto"/>
        </w:rPr>
        <w:t xml:space="preserve">4, 5 and 6 </w:t>
      </w:r>
      <w:r w:rsidRPr="006562CA">
        <w:rPr>
          <w:rFonts w:ascii="Times New Roman" w:hAnsi="Times New Roman" w:cs="Times New Roman"/>
        </w:rPr>
        <w:t>respectively. For presentation clarity we omitted any allergen that did not have 30 or more occurrences per vaccine.</w:t>
      </w:r>
    </w:p>
    <w:p w14:paraId="77EC6595" w14:textId="77777777" w:rsidR="006562CA" w:rsidRPr="006562CA" w:rsidRDefault="006562CA" w:rsidP="006562CA">
      <w:pPr>
        <w:ind w:left="-15" w:right="91"/>
        <w:jc w:val="both"/>
        <w:rPr>
          <w:rFonts w:ascii="Times New Roman" w:hAnsi="Times New Roman" w:cs="Times New Roman"/>
        </w:rPr>
      </w:pPr>
      <w:r w:rsidRPr="006562CA">
        <w:rPr>
          <w:rFonts w:ascii="Times New Roman" w:hAnsi="Times New Roman" w:cs="Times New Roman"/>
        </w:rPr>
        <w:t>From this data for adverse reaction to *</w:t>
      </w:r>
      <w:proofErr w:type="spellStart"/>
      <w:r w:rsidRPr="006562CA">
        <w:rPr>
          <w:rFonts w:ascii="Times New Roman" w:hAnsi="Times New Roman" w:cs="Times New Roman"/>
        </w:rPr>
        <w:t>cillin</w:t>
      </w:r>
      <w:proofErr w:type="spellEnd"/>
      <w:r w:rsidRPr="006562CA">
        <w:rPr>
          <w:rFonts w:ascii="Times New Roman" w:hAnsi="Times New Roman" w:cs="Times New Roman"/>
        </w:rPr>
        <w:t xml:space="preserve"> drugs, 6.10% of Pfizer patients died versus 1.39% for Janssen. Sulfa drugs showed a similar ordering with 4.70% of Pfizer patients dying versus 0.66% for Janssen. The other notable findings were for the antibiotic Tetracycline which shown a similar ordering with 6.56% of Pfizer patients dying and Aspirin where 8.89% of Moderna and 5.26% of Pfizer patients died. It does appear that Janssen is the safest of the three vaccines in contributing to the fewest patient deaths across all allergens investigated.</w:t>
      </w:r>
    </w:p>
    <w:p w14:paraId="5D956E1A" w14:textId="2E77E5EA" w:rsidR="006562CA" w:rsidRPr="00EE2B22" w:rsidRDefault="006562CA" w:rsidP="00EE2B22">
      <w:pPr>
        <w:spacing w:after="577"/>
        <w:ind w:left="-15" w:right="91"/>
        <w:jc w:val="both"/>
        <w:rPr>
          <w:rFonts w:ascii="Times New Roman" w:hAnsi="Times New Roman" w:cs="Times New Roman"/>
        </w:rPr>
      </w:pPr>
      <w:r w:rsidRPr="006562CA">
        <w:rPr>
          <w:rFonts w:ascii="Times New Roman" w:hAnsi="Times New Roman" w:cs="Times New Roman"/>
        </w:rPr>
        <w:t xml:space="preserve">These results stand in contrast to prior work in which there has been no generally accepted research published of a link between drug allergies and vaccines adverse </w:t>
      </w:r>
      <w:r w:rsidRPr="006562CA">
        <w:rPr>
          <w:rFonts w:ascii="Times New Roman" w:hAnsi="Times New Roman" w:cs="Times New Roman"/>
        </w:rPr>
        <w:lastRenderedPageBreak/>
        <w:t xml:space="preserve">events (American College of Allergy, Asthma and Immunology, </w:t>
      </w:r>
      <w:r w:rsidRPr="006562CA">
        <w:rPr>
          <w:rFonts w:ascii="Times New Roman" w:hAnsi="Times New Roman" w:cs="Times New Roman"/>
          <w:color w:val="auto"/>
        </w:rPr>
        <w:t>2021</w:t>
      </w:r>
      <w:r w:rsidRPr="006562CA">
        <w:rPr>
          <w:rFonts w:ascii="Times New Roman" w:hAnsi="Times New Roman" w:cs="Times New Roman"/>
        </w:rPr>
        <w:t>; Blumenthal et al</w:t>
      </w:r>
      <w:r w:rsidRPr="006562CA">
        <w:rPr>
          <w:rFonts w:ascii="Times New Roman" w:hAnsi="Times New Roman" w:cs="Times New Roman"/>
          <w:color w:val="auto"/>
        </w:rPr>
        <w:t>., 2021</w:t>
      </w:r>
      <w:r w:rsidRPr="006562CA">
        <w:rPr>
          <w:rFonts w:ascii="Times New Roman" w:hAnsi="Times New Roman" w:cs="Times New Roman"/>
        </w:rPr>
        <w:t>).</w:t>
      </w:r>
    </w:p>
    <w:tbl>
      <w:tblPr>
        <w:tblStyle w:val="TableGrid0"/>
        <w:tblW w:w="5428" w:type="dxa"/>
        <w:tblInd w:w="873" w:type="dxa"/>
        <w:tblCellMar>
          <w:right w:w="115" w:type="dxa"/>
        </w:tblCellMar>
        <w:tblLook w:val="04A0" w:firstRow="1" w:lastRow="0" w:firstColumn="1" w:lastColumn="0" w:noHBand="0" w:noVBand="1"/>
      </w:tblPr>
      <w:tblGrid>
        <w:gridCol w:w="1178"/>
        <w:gridCol w:w="789"/>
        <w:gridCol w:w="789"/>
        <w:gridCol w:w="888"/>
        <w:gridCol w:w="1007"/>
        <w:gridCol w:w="777"/>
      </w:tblGrid>
      <w:tr w:rsidR="006562CA" w14:paraId="574AFF55" w14:textId="77777777" w:rsidTr="006562CA">
        <w:trPr>
          <w:trHeight w:val="384"/>
        </w:trPr>
        <w:tc>
          <w:tcPr>
            <w:tcW w:w="1178" w:type="dxa"/>
            <w:tcBorders>
              <w:top w:val="single" w:sz="7" w:space="0" w:color="000000"/>
              <w:left w:val="nil"/>
              <w:bottom w:val="single" w:sz="4" w:space="0" w:color="000000"/>
              <w:right w:val="nil"/>
            </w:tcBorders>
          </w:tcPr>
          <w:p w14:paraId="0D62CA74" w14:textId="77777777" w:rsidR="006562CA" w:rsidRDefault="006562CA" w:rsidP="00985BDF">
            <w:pPr>
              <w:spacing w:line="259" w:lineRule="auto"/>
              <w:ind w:left="120"/>
            </w:pPr>
            <w:r>
              <w:t>Vaccine</w:t>
            </w:r>
          </w:p>
        </w:tc>
        <w:tc>
          <w:tcPr>
            <w:tcW w:w="789" w:type="dxa"/>
            <w:tcBorders>
              <w:top w:val="single" w:sz="7" w:space="0" w:color="000000"/>
              <w:left w:val="nil"/>
              <w:bottom w:val="single" w:sz="4" w:space="0" w:color="000000"/>
              <w:right w:val="nil"/>
            </w:tcBorders>
          </w:tcPr>
          <w:p w14:paraId="21FD8D33" w14:textId="77777777" w:rsidR="006562CA" w:rsidRDefault="006562CA" w:rsidP="00985BDF">
            <w:pPr>
              <w:spacing w:line="259" w:lineRule="auto"/>
              <w:ind w:left="202"/>
            </w:pPr>
            <w:proofErr w:type="spellStart"/>
            <w:r>
              <w:t>Egg</w:t>
            </w:r>
            <w:proofErr w:type="spellEnd"/>
          </w:p>
        </w:tc>
        <w:tc>
          <w:tcPr>
            <w:tcW w:w="789" w:type="dxa"/>
            <w:tcBorders>
              <w:top w:val="single" w:sz="7" w:space="0" w:color="000000"/>
              <w:left w:val="nil"/>
              <w:bottom w:val="single" w:sz="4" w:space="0" w:color="000000"/>
              <w:right w:val="nil"/>
            </w:tcBorders>
          </w:tcPr>
          <w:p w14:paraId="171E94D4" w14:textId="77777777" w:rsidR="006562CA" w:rsidRDefault="006562CA" w:rsidP="00985BDF">
            <w:pPr>
              <w:spacing w:line="259" w:lineRule="auto"/>
              <w:ind w:left="133"/>
            </w:pPr>
            <w:proofErr w:type="spellStart"/>
            <w:r>
              <w:t>Milk</w:t>
            </w:r>
            <w:proofErr w:type="spellEnd"/>
          </w:p>
        </w:tc>
        <w:tc>
          <w:tcPr>
            <w:tcW w:w="888" w:type="dxa"/>
            <w:tcBorders>
              <w:top w:val="single" w:sz="7" w:space="0" w:color="000000"/>
              <w:left w:val="nil"/>
              <w:bottom w:val="single" w:sz="4" w:space="0" w:color="000000"/>
              <w:right w:val="nil"/>
            </w:tcBorders>
          </w:tcPr>
          <w:p w14:paraId="0B403E71" w14:textId="77777777" w:rsidR="006562CA" w:rsidRDefault="006562CA" w:rsidP="00985BDF">
            <w:pPr>
              <w:spacing w:line="259" w:lineRule="auto"/>
            </w:pPr>
            <w:proofErr w:type="spellStart"/>
            <w:r>
              <w:t>Peanut</w:t>
            </w:r>
            <w:proofErr w:type="spellEnd"/>
          </w:p>
        </w:tc>
        <w:tc>
          <w:tcPr>
            <w:tcW w:w="1007" w:type="dxa"/>
            <w:tcBorders>
              <w:top w:val="single" w:sz="7" w:space="0" w:color="000000"/>
              <w:left w:val="nil"/>
              <w:bottom w:val="single" w:sz="4" w:space="0" w:color="000000"/>
              <w:right w:val="nil"/>
            </w:tcBorders>
          </w:tcPr>
          <w:p w14:paraId="3AA83C15" w14:textId="77777777" w:rsidR="006562CA" w:rsidRDefault="006562CA" w:rsidP="00985BDF">
            <w:pPr>
              <w:spacing w:line="259" w:lineRule="auto"/>
            </w:pPr>
            <w:proofErr w:type="spellStart"/>
            <w:r>
              <w:t>Shellfish</w:t>
            </w:r>
            <w:proofErr w:type="spellEnd"/>
          </w:p>
        </w:tc>
        <w:tc>
          <w:tcPr>
            <w:tcW w:w="777" w:type="dxa"/>
            <w:tcBorders>
              <w:top w:val="single" w:sz="7" w:space="0" w:color="000000"/>
              <w:left w:val="nil"/>
              <w:bottom w:val="single" w:sz="4" w:space="0" w:color="000000"/>
              <w:right w:val="nil"/>
            </w:tcBorders>
          </w:tcPr>
          <w:p w14:paraId="6315D2F5" w14:textId="77777777" w:rsidR="006562CA" w:rsidRDefault="006562CA" w:rsidP="00985BDF">
            <w:pPr>
              <w:spacing w:line="259" w:lineRule="auto"/>
              <w:ind w:left="158"/>
            </w:pPr>
            <w:r>
              <w:t>Fish</w:t>
            </w:r>
          </w:p>
        </w:tc>
      </w:tr>
      <w:tr w:rsidR="006562CA" w14:paraId="6B6EBEAC" w14:textId="77777777" w:rsidTr="006562CA">
        <w:trPr>
          <w:trHeight w:val="324"/>
        </w:trPr>
        <w:tc>
          <w:tcPr>
            <w:tcW w:w="1178" w:type="dxa"/>
            <w:tcBorders>
              <w:top w:val="single" w:sz="4" w:space="0" w:color="000000"/>
              <w:left w:val="nil"/>
              <w:bottom w:val="nil"/>
              <w:right w:val="nil"/>
            </w:tcBorders>
          </w:tcPr>
          <w:p w14:paraId="73324328" w14:textId="77777777" w:rsidR="006562CA" w:rsidRDefault="006562CA" w:rsidP="00985BDF">
            <w:pPr>
              <w:spacing w:line="259" w:lineRule="auto"/>
              <w:ind w:left="120"/>
            </w:pPr>
            <w:r>
              <w:t>Moderna</w:t>
            </w:r>
          </w:p>
        </w:tc>
        <w:tc>
          <w:tcPr>
            <w:tcW w:w="789" w:type="dxa"/>
            <w:tcBorders>
              <w:top w:val="single" w:sz="4" w:space="0" w:color="000000"/>
              <w:left w:val="nil"/>
              <w:bottom w:val="nil"/>
              <w:right w:val="nil"/>
            </w:tcBorders>
          </w:tcPr>
          <w:p w14:paraId="6A474938" w14:textId="77777777" w:rsidR="006562CA" w:rsidRDefault="006562CA" w:rsidP="00985BDF">
            <w:pPr>
              <w:spacing w:line="259" w:lineRule="auto"/>
            </w:pPr>
            <w:r>
              <w:t>2.70%</w:t>
            </w:r>
          </w:p>
        </w:tc>
        <w:tc>
          <w:tcPr>
            <w:tcW w:w="789" w:type="dxa"/>
            <w:tcBorders>
              <w:top w:val="single" w:sz="4" w:space="0" w:color="000000"/>
              <w:left w:val="nil"/>
              <w:bottom w:val="nil"/>
              <w:right w:val="nil"/>
            </w:tcBorders>
          </w:tcPr>
          <w:p w14:paraId="4BD0D491" w14:textId="77777777" w:rsidR="006562CA" w:rsidRDefault="006562CA" w:rsidP="00985BDF">
            <w:pPr>
              <w:spacing w:line="259" w:lineRule="auto"/>
            </w:pPr>
            <w:r>
              <w:t>0.00%</w:t>
            </w:r>
          </w:p>
        </w:tc>
        <w:tc>
          <w:tcPr>
            <w:tcW w:w="888" w:type="dxa"/>
            <w:tcBorders>
              <w:top w:val="single" w:sz="4" w:space="0" w:color="000000"/>
              <w:left w:val="nil"/>
              <w:bottom w:val="nil"/>
              <w:right w:val="nil"/>
            </w:tcBorders>
          </w:tcPr>
          <w:p w14:paraId="257795BF" w14:textId="77777777" w:rsidR="006562CA" w:rsidRDefault="006562CA" w:rsidP="00985BDF">
            <w:pPr>
              <w:spacing w:line="259" w:lineRule="auto"/>
              <w:ind w:left="99"/>
            </w:pPr>
            <w:r>
              <w:t>2.13%</w:t>
            </w:r>
          </w:p>
        </w:tc>
        <w:tc>
          <w:tcPr>
            <w:tcW w:w="1007" w:type="dxa"/>
            <w:tcBorders>
              <w:top w:val="single" w:sz="4" w:space="0" w:color="000000"/>
              <w:left w:val="nil"/>
              <w:bottom w:val="nil"/>
              <w:right w:val="nil"/>
            </w:tcBorders>
          </w:tcPr>
          <w:p w14:paraId="77B87668" w14:textId="77777777" w:rsidR="006562CA" w:rsidRDefault="006562CA" w:rsidP="00985BDF">
            <w:pPr>
              <w:spacing w:line="259" w:lineRule="auto"/>
              <w:ind w:left="218"/>
            </w:pPr>
            <w:r>
              <w:t>2.92%</w:t>
            </w:r>
          </w:p>
        </w:tc>
        <w:tc>
          <w:tcPr>
            <w:tcW w:w="777" w:type="dxa"/>
            <w:tcBorders>
              <w:top w:val="single" w:sz="4" w:space="0" w:color="000000"/>
              <w:left w:val="nil"/>
              <w:bottom w:val="nil"/>
              <w:right w:val="nil"/>
            </w:tcBorders>
          </w:tcPr>
          <w:p w14:paraId="7AA3728F" w14:textId="77777777" w:rsidR="006562CA" w:rsidRDefault="006562CA" w:rsidP="00985BDF">
            <w:pPr>
              <w:spacing w:line="259" w:lineRule="auto"/>
            </w:pPr>
            <w:r>
              <w:t>4.00%</w:t>
            </w:r>
          </w:p>
        </w:tc>
      </w:tr>
      <w:tr w:rsidR="006562CA" w14:paraId="43E54AE3" w14:textId="77777777" w:rsidTr="006562CA">
        <w:trPr>
          <w:trHeight w:val="271"/>
        </w:trPr>
        <w:tc>
          <w:tcPr>
            <w:tcW w:w="1178" w:type="dxa"/>
            <w:tcBorders>
              <w:top w:val="nil"/>
              <w:left w:val="nil"/>
              <w:bottom w:val="nil"/>
              <w:right w:val="nil"/>
            </w:tcBorders>
          </w:tcPr>
          <w:p w14:paraId="1295CDE3" w14:textId="77777777" w:rsidR="006562CA" w:rsidRDefault="006562CA" w:rsidP="00985BDF">
            <w:pPr>
              <w:spacing w:line="259" w:lineRule="auto"/>
              <w:ind w:left="120"/>
            </w:pPr>
            <w:r>
              <w:t>Pfizer</w:t>
            </w:r>
          </w:p>
        </w:tc>
        <w:tc>
          <w:tcPr>
            <w:tcW w:w="789" w:type="dxa"/>
            <w:tcBorders>
              <w:top w:val="nil"/>
              <w:left w:val="nil"/>
              <w:bottom w:val="nil"/>
              <w:right w:val="nil"/>
            </w:tcBorders>
          </w:tcPr>
          <w:p w14:paraId="18084B9E" w14:textId="77777777" w:rsidR="006562CA" w:rsidRDefault="006562CA" w:rsidP="00985BDF">
            <w:pPr>
              <w:spacing w:line="259" w:lineRule="auto"/>
            </w:pPr>
            <w:r>
              <w:t>1.43%</w:t>
            </w:r>
          </w:p>
        </w:tc>
        <w:tc>
          <w:tcPr>
            <w:tcW w:w="789" w:type="dxa"/>
            <w:tcBorders>
              <w:top w:val="nil"/>
              <w:left w:val="nil"/>
              <w:bottom w:val="nil"/>
              <w:right w:val="nil"/>
            </w:tcBorders>
          </w:tcPr>
          <w:p w14:paraId="1149B130" w14:textId="77777777" w:rsidR="006562CA" w:rsidRDefault="006562CA" w:rsidP="00985BDF">
            <w:pPr>
              <w:spacing w:line="259" w:lineRule="auto"/>
            </w:pPr>
            <w:r>
              <w:t>2.78%</w:t>
            </w:r>
          </w:p>
        </w:tc>
        <w:tc>
          <w:tcPr>
            <w:tcW w:w="888" w:type="dxa"/>
            <w:tcBorders>
              <w:top w:val="nil"/>
              <w:left w:val="nil"/>
              <w:bottom w:val="nil"/>
              <w:right w:val="nil"/>
            </w:tcBorders>
          </w:tcPr>
          <w:p w14:paraId="531F282C" w14:textId="77777777" w:rsidR="006562CA" w:rsidRDefault="006562CA" w:rsidP="00985BDF">
            <w:pPr>
              <w:spacing w:line="259" w:lineRule="auto"/>
              <w:ind w:left="99"/>
            </w:pPr>
            <w:r>
              <w:t>1.37%</w:t>
            </w:r>
          </w:p>
        </w:tc>
        <w:tc>
          <w:tcPr>
            <w:tcW w:w="1007" w:type="dxa"/>
            <w:tcBorders>
              <w:top w:val="nil"/>
              <w:left w:val="nil"/>
              <w:bottom w:val="nil"/>
              <w:right w:val="nil"/>
            </w:tcBorders>
          </w:tcPr>
          <w:p w14:paraId="6D55007D" w14:textId="77777777" w:rsidR="006562CA" w:rsidRDefault="006562CA" w:rsidP="00985BDF">
            <w:pPr>
              <w:spacing w:line="259" w:lineRule="auto"/>
              <w:ind w:left="218"/>
            </w:pPr>
            <w:r>
              <w:t>2.58%</w:t>
            </w:r>
          </w:p>
        </w:tc>
        <w:tc>
          <w:tcPr>
            <w:tcW w:w="777" w:type="dxa"/>
            <w:tcBorders>
              <w:top w:val="nil"/>
              <w:left w:val="nil"/>
              <w:bottom w:val="nil"/>
              <w:right w:val="nil"/>
            </w:tcBorders>
          </w:tcPr>
          <w:p w14:paraId="7100B9D0" w14:textId="77777777" w:rsidR="006562CA" w:rsidRDefault="006562CA" w:rsidP="00985BDF">
            <w:pPr>
              <w:spacing w:line="259" w:lineRule="auto"/>
            </w:pPr>
            <w:r>
              <w:t>0.00%</w:t>
            </w:r>
          </w:p>
        </w:tc>
      </w:tr>
      <w:tr w:rsidR="006562CA" w14:paraId="57D11C17" w14:textId="77777777" w:rsidTr="006562CA">
        <w:trPr>
          <w:trHeight w:val="331"/>
        </w:trPr>
        <w:tc>
          <w:tcPr>
            <w:tcW w:w="1178" w:type="dxa"/>
            <w:tcBorders>
              <w:top w:val="nil"/>
              <w:left w:val="nil"/>
              <w:bottom w:val="single" w:sz="7" w:space="0" w:color="000000"/>
              <w:right w:val="nil"/>
            </w:tcBorders>
          </w:tcPr>
          <w:p w14:paraId="4E76B6B6" w14:textId="77777777" w:rsidR="006562CA" w:rsidRDefault="006562CA" w:rsidP="00985BDF">
            <w:pPr>
              <w:spacing w:line="259" w:lineRule="auto"/>
              <w:ind w:left="120"/>
            </w:pPr>
            <w:r>
              <w:t>Janssen</w:t>
            </w:r>
          </w:p>
        </w:tc>
        <w:tc>
          <w:tcPr>
            <w:tcW w:w="789" w:type="dxa"/>
            <w:tcBorders>
              <w:top w:val="nil"/>
              <w:left w:val="nil"/>
              <w:bottom w:val="single" w:sz="7" w:space="0" w:color="000000"/>
              <w:right w:val="nil"/>
            </w:tcBorders>
          </w:tcPr>
          <w:p w14:paraId="3B4C5290" w14:textId="77777777" w:rsidR="006562CA" w:rsidRDefault="006562CA" w:rsidP="00985BDF">
            <w:pPr>
              <w:spacing w:line="259" w:lineRule="auto"/>
            </w:pPr>
            <w:r>
              <w:t>0.00%</w:t>
            </w:r>
          </w:p>
        </w:tc>
        <w:tc>
          <w:tcPr>
            <w:tcW w:w="789" w:type="dxa"/>
            <w:tcBorders>
              <w:top w:val="nil"/>
              <w:left w:val="nil"/>
              <w:bottom w:val="single" w:sz="7" w:space="0" w:color="000000"/>
              <w:right w:val="nil"/>
            </w:tcBorders>
          </w:tcPr>
          <w:p w14:paraId="7A082E1C" w14:textId="77777777" w:rsidR="006562CA" w:rsidRDefault="006562CA" w:rsidP="00985BDF">
            <w:pPr>
              <w:spacing w:line="259" w:lineRule="auto"/>
              <w:ind w:left="241"/>
            </w:pPr>
            <w:r>
              <w:t>NA</w:t>
            </w:r>
          </w:p>
        </w:tc>
        <w:tc>
          <w:tcPr>
            <w:tcW w:w="888" w:type="dxa"/>
            <w:tcBorders>
              <w:top w:val="nil"/>
              <w:left w:val="nil"/>
              <w:bottom w:val="single" w:sz="7" w:space="0" w:color="000000"/>
              <w:right w:val="nil"/>
            </w:tcBorders>
          </w:tcPr>
          <w:p w14:paraId="26DDD32C" w14:textId="77777777" w:rsidR="006562CA" w:rsidRDefault="006562CA" w:rsidP="00985BDF">
            <w:pPr>
              <w:spacing w:line="259" w:lineRule="auto"/>
              <w:ind w:left="99"/>
            </w:pPr>
            <w:r>
              <w:t>0.00%</w:t>
            </w:r>
          </w:p>
        </w:tc>
        <w:tc>
          <w:tcPr>
            <w:tcW w:w="1007" w:type="dxa"/>
            <w:tcBorders>
              <w:top w:val="nil"/>
              <w:left w:val="nil"/>
              <w:bottom w:val="single" w:sz="7" w:space="0" w:color="000000"/>
              <w:right w:val="nil"/>
            </w:tcBorders>
          </w:tcPr>
          <w:p w14:paraId="26FB0126" w14:textId="77777777" w:rsidR="006562CA" w:rsidRDefault="006562CA" w:rsidP="00985BDF">
            <w:pPr>
              <w:spacing w:line="259" w:lineRule="auto"/>
              <w:ind w:left="218"/>
            </w:pPr>
            <w:r>
              <w:t>1.33%</w:t>
            </w:r>
          </w:p>
        </w:tc>
        <w:tc>
          <w:tcPr>
            <w:tcW w:w="777" w:type="dxa"/>
            <w:tcBorders>
              <w:top w:val="nil"/>
              <w:left w:val="nil"/>
              <w:bottom w:val="single" w:sz="7" w:space="0" w:color="000000"/>
              <w:right w:val="nil"/>
            </w:tcBorders>
          </w:tcPr>
          <w:p w14:paraId="0667D132" w14:textId="77777777" w:rsidR="006562CA" w:rsidRDefault="006562CA" w:rsidP="00985BDF">
            <w:pPr>
              <w:spacing w:line="259" w:lineRule="auto"/>
              <w:ind w:left="241"/>
            </w:pPr>
            <w:r>
              <w:t>NA</w:t>
            </w:r>
          </w:p>
        </w:tc>
      </w:tr>
    </w:tbl>
    <w:p w14:paraId="321C93E7" w14:textId="571D81D2" w:rsidR="006562CA" w:rsidRDefault="006562CA" w:rsidP="006562CA">
      <w:pPr>
        <w:ind w:left="-17" w:right="91"/>
        <w:jc w:val="both"/>
        <w:rPr>
          <w:rFonts w:ascii="Times New Roman" w:eastAsia="Calibri" w:hAnsi="Times New Roman" w:cs="Times New Roman"/>
          <w:b/>
          <w:bCs/>
          <w:i/>
          <w:iCs/>
        </w:rPr>
      </w:pPr>
    </w:p>
    <w:p w14:paraId="7EEF31EE" w14:textId="77777777" w:rsidR="006562CA" w:rsidRPr="006562CA" w:rsidRDefault="006562CA" w:rsidP="00EE2B22">
      <w:pPr>
        <w:spacing w:after="379"/>
        <w:ind w:left="200" w:right="91"/>
        <w:jc w:val="center"/>
        <w:rPr>
          <w:rFonts w:ascii="Times New Roman" w:hAnsi="Times New Roman" w:cs="Times New Roman"/>
        </w:rPr>
      </w:pPr>
      <w:r w:rsidRPr="00EE2B22">
        <w:rPr>
          <w:rFonts w:ascii="Times New Roman" w:hAnsi="Times New Roman" w:cs="Times New Roman"/>
          <w:b/>
        </w:rPr>
        <w:t>Table 4: Covid-19 Vaccine Patient Deaths and Food Allergies</w:t>
      </w:r>
    </w:p>
    <w:p w14:paraId="220A4469" w14:textId="795F38CE" w:rsidR="006562CA" w:rsidRDefault="006562CA" w:rsidP="006562CA">
      <w:pPr>
        <w:ind w:left="-17" w:right="91"/>
        <w:jc w:val="both"/>
        <w:rPr>
          <w:rFonts w:ascii="Times New Roman" w:eastAsia="Calibri" w:hAnsi="Times New Roman" w:cs="Times New Roman"/>
          <w:b/>
          <w:bCs/>
          <w:i/>
          <w:iCs/>
        </w:rPr>
      </w:pPr>
    </w:p>
    <w:tbl>
      <w:tblPr>
        <w:tblStyle w:val="TableGrid0"/>
        <w:tblW w:w="7328" w:type="dxa"/>
        <w:tblInd w:w="0" w:type="dxa"/>
        <w:tblCellMar>
          <w:right w:w="115" w:type="dxa"/>
        </w:tblCellMar>
        <w:tblLook w:val="04A0" w:firstRow="1" w:lastRow="0" w:firstColumn="1" w:lastColumn="0" w:noHBand="0" w:noVBand="1"/>
      </w:tblPr>
      <w:tblGrid>
        <w:gridCol w:w="1177"/>
        <w:gridCol w:w="788"/>
        <w:gridCol w:w="1391"/>
        <w:gridCol w:w="1146"/>
        <w:gridCol w:w="1133"/>
        <w:gridCol w:w="916"/>
        <w:gridCol w:w="777"/>
      </w:tblGrid>
      <w:tr w:rsidR="006562CA" w14:paraId="6F03BFF8" w14:textId="77777777" w:rsidTr="00985BDF">
        <w:trPr>
          <w:trHeight w:val="384"/>
        </w:trPr>
        <w:tc>
          <w:tcPr>
            <w:tcW w:w="1202" w:type="dxa"/>
            <w:tcBorders>
              <w:top w:val="single" w:sz="7" w:space="0" w:color="000000"/>
              <w:left w:val="nil"/>
              <w:bottom w:val="single" w:sz="4" w:space="0" w:color="000000"/>
              <w:right w:val="nil"/>
            </w:tcBorders>
          </w:tcPr>
          <w:p w14:paraId="5EF69800" w14:textId="77777777" w:rsidR="006562CA" w:rsidRDefault="006562CA" w:rsidP="00985BDF">
            <w:pPr>
              <w:spacing w:line="259" w:lineRule="auto"/>
              <w:ind w:left="120"/>
            </w:pPr>
            <w:r>
              <w:t>Vaccine</w:t>
            </w:r>
          </w:p>
        </w:tc>
        <w:tc>
          <w:tcPr>
            <w:tcW w:w="806" w:type="dxa"/>
            <w:tcBorders>
              <w:top w:val="single" w:sz="7" w:space="0" w:color="000000"/>
              <w:left w:val="nil"/>
              <w:bottom w:val="single" w:sz="4" w:space="0" w:color="000000"/>
              <w:right w:val="nil"/>
            </w:tcBorders>
          </w:tcPr>
          <w:p w14:paraId="3532168F" w14:textId="77777777" w:rsidR="006562CA" w:rsidRDefault="006562CA" w:rsidP="00985BDF">
            <w:pPr>
              <w:spacing w:line="259" w:lineRule="auto"/>
            </w:pPr>
            <w:r>
              <w:t>*</w:t>
            </w:r>
            <w:proofErr w:type="spellStart"/>
            <w:r>
              <w:t>cillin</w:t>
            </w:r>
            <w:proofErr w:type="spellEnd"/>
          </w:p>
        </w:tc>
        <w:tc>
          <w:tcPr>
            <w:tcW w:w="1396" w:type="dxa"/>
            <w:tcBorders>
              <w:top w:val="single" w:sz="7" w:space="0" w:color="000000"/>
              <w:left w:val="nil"/>
              <w:bottom w:val="single" w:sz="4" w:space="0" w:color="000000"/>
              <w:right w:val="nil"/>
            </w:tcBorders>
          </w:tcPr>
          <w:p w14:paraId="5D984EA1" w14:textId="77777777" w:rsidR="006562CA" w:rsidRDefault="006562CA" w:rsidP="00985BDF">
            <w:pPr>
              <w:spacing w:line="259" w:lineRule="auto"/>
            </w:pPr>
            <w:r>
              <w:t>Tetracycline</w:t>
            </w:r>
          </w:p>
        </w:tc>
        <w:tc>
          <w:tcPr>
            <w:tcW w:w="1155" w:type="dxa"/>
            <w:tcBorders>
              <w:top w:val="single" w:sz="7" w:space="0" w:color="000000"/>
              <w:left w:val="nil"/>
              <w:bottom w:val="single" w:sz="4" w:space="0" w:color="000000"/>
              <w:right w:val="nil"/>
            </w:tcBorders>
          </w:tcPr>
          <w:p w14:paraId="370D58CC" w14:textId="77777777" w:rsidR="006562CA" w:rsidRDefault="006562CA" w:rsidP="00985BDF">
            <w:pPr>
              <w:spacing w:line="259" w:lineRule="auto"/>
            </w:pPr>
            <w:r>
              <w:t>Ibuprofen</w:t>
            </w:r>
          </w:p>
        </w:tc>
        <w:tc>
          <w:tcPr>
            <w:tcW w:w="1149" w:type="dxa"/>
            <w:tcBorders>
              <w:top w:val="single" w:sz="7" w:space="0" w:color="000000"/>
              <w:left w:val="nil"/>
              <w:bottom w:val="single" w:sz="4" w:space="0" w:color="000000"/>
              <w:right w:val="nil"/>
            </w:tcBorders>
          </w:tcPr>
          <w:p w14:paraId="16144994" w14:textId="77777777" w:rsidR="006562CA" w:rsidRDefault="006562CA" w:rsidP="00985BDF">
            <w:pPr>
              <w:spacing w:line="259" w:lineRule="auto"/>
            </w:pPr>
            <w:proofErr w:type="spellStart"/>
            <w:r>
              <w:t>Naproxen</w:t>
            </w:r>
            <w:proofErr w:type="spellEnd"/>
          </w:p>
        </w:tc>
        <w:tc>
          <w:tcPr>
            <w:tcW w:w="933" w:type="dxa"/>
            <w:tcBorders>
              <w:top w:val="single" w:sz="7" w:space="0" w:color="000000"/>
              <w:left w:val="nil"/>
              <w:bottom w:val="single" w:sz="4" w:space="0" w:color="000000"/>
              <w:right w:val="nil"/>
            </w:tcBorders>
          </w:tcPr>
          <w:p w14:paraId="23576079" w14:textId="77777777" w:rsidR="006562CA" w:rsidRDefault="006562CA" w:rsidP="00985BDF">
            <w:pPr>
              <w:spacing w:line="259" w:lineRule="auto"/>
            </w:pPr>
            <w:proofErr w:type="spellStart"/>
            <w:r>
              <w:t>Aspirin</w:t>
            </w:r>
            <w:proofErr w:type="spellEnd"/>
          </w:p>
        </w:tc>
        <w:tc>
          <w:tcPr>
            <w:tcW w:w="686" w:type="dxa"/>
            <w:tcBorders>
              <w:top w:val="single" w:sz="7" w:space="0" w:color="000000"/>
              <w:left w:val="nil"/>
              <w:bottom w:val="single" w:sz="4" w:space="0" w:color="000000"/>
              <w:right w:val="nil"/>
            </w:tcBorders>
          </w:tcPr>
          <w:p w14:paraId="6A1CD427" w14:textId="77777777" w:rsidR="006562CA" w:rsidRDefault="006562CA" w:rsidP="00985BDF">
            <w:pPr>
              <w:spacing w:line="259" w:lineRule="auto"/>
              <w:ind w:left="90"/>
            </w:pPr>
            <w:r>
              <w:t>Sulfa</w:t>
            </w:r>
          </w:p>
        </w:tc>
      </w:tr>
      <w:tr w:rsidR="006562CA" w14:paraId="516251DA" w14:textId="77777777" w:rsidTr="00985BDF">
        <w:trPr>
          <w:trHeight w:val="324"/>
        </w:trPr>
        <w:tc>
          <w:tcPr>
            <w:tcW w:w="1202" w:type="dxa"/>
            <w:tcBorders>
              <w:top w:val="single" w:sz="4" w:space="0" w:color="000000"/>
              <w:left w:val="nil"/>
              <w:bottom w:val="nil"/>
              <w:right w:val="nil"/>
            </w:tcBorders>
          </w:tcPr>
          <w:p w14:paraId="7DE88B32" w14:textId="77777777" w:rsidR="006562CA" w:rsidRDefault="006562CA" w:rsidP="00985BDF">
            <w:pPr>
              <w:spacing w:line="259" w:lineRule="auto"/>
              <w:ind w:left="120"/>
            </w:pPr>
            <w:r>
              <w:t>Moderna</w:t>
            </w:r>
          </w:p>
        </w:tc>
        <w:tc>
          <w:tcPr>
            <w:tcW w:w="806" w:type="dxa"/>
            <w:tcBorders>
              <w:top w:val="single" w:sz="4" w:space="0" w:color="000000"/>
              <w:left w:val="nil"/>
              <w:bottom w:val="nil"/>
              <w:right w:val="nil"/>
            </w:tcBorders>
          </w:tcPr>
          <w:p w14:paraId="5D30F1FA" w14:textId="77777777" w:rsidR="006562CA" w:rsidRDefault="006562CA" w:rsidP="00985BDF">
            <w:pPr>
              <w:spacing w:line="259" w:lineRule="auto"/>
            </w:pPr>
            <w:r>
              <w:t>3.94%</w:t>
            </w:r>
          </w:p>
        </w:tc>
        <w:tc>
          <w:tcPr>
            <w:tcW w:w="1396" w:type="dxa"/>
            <w:tcBorders>
              <w:top w:val="single" w:sz="4" w:space="0" w:color="000000"/>
              <w:left w:val="nil"/>
              <w:bottom w:val="nil"/>
              <w:right w:val="nil"/>
            </w:tcBorders>
          </w:tcPr>
          <w:p w14:paraId="39BFE48E" w14:textId="77777777" w:rsidR="006562CA" w:rsidRDefault="006562CA" w:rsidP="00985BDF">
            <w:pPr>
              <w:spacing w:line="259" w:lineRule="auto"/>
              <w:ind w:left="591"/>
            </w:pPr>
            <w:r>
              <w:t>4.71%</w:t>
            </w:r>
          </w:p>
        </w:tc>
        <w:tc>
          <w:tcPr>
            <w:tcW w:w="1155" w:type="dxa"/>
            <w:tcBorders>
              <w:top w:val="single" w:sz="4" w:space="0" w:color="000000"/>
              <w:left w:val="nil"/>
              <w:bottom w:val="nil"/>
              <w:right w:val="nil"/>
            </w:tcBorders>
          </w:tcPr>
          <w:p w14:paraId="11AFE22C" w14:textId="77777777" w:rsidR="006562CA" w:rsidRDefault="006562CA" w:rsidP="00985BDF">
            <w:pPr>
              <w:spacing w:line="259" w:lineRule="auto"/>
              <w:ind w:left="226"/>
              <w:jc w:val="center"/>
            </w:pPr>
            <w:r>
              <w:t>2.44%</w:t>
            </w:r>
          </w:p>
        </w:tc>
        <w:tc>
          <w:tcPr>
            <w:tcW w:w="1149" w:type="dxa"/>
            <w:tcBorders>
              <w:top w:val="single" w:sz="4" w:space="0" w:color="000000"/>
              <w:left w:val="nil"/>
              <w:bottom w:val="nil"/>
              <w:right w:val="nil"/>
            </w:tcBorders>
          </w:tcPr>
          <w:p w14:paraId="23846982" w14:textId="77777777" w:rsidR="006562CA" w:rsidRDefault="006562CA" w:rsidP="00985BDF">
            <w:pPr>
              <w:spacing w:line="259" w:lineRule="auto"/>
              <w:ind w:left="219"/>
              <w:jc w:val="center"/>
            </w:pPr>
            <w:r>
              <w:t>2.78%</w:t>
            </w:r>
          </w:p>
        </w:tc>
        <w:tc>
          <w:tcPr>
            <w:tcW w:w="933" w:type="dxa"/>
            <w:tcBorders>
              <w:top w:val="single" w:sz="4" w:space="0" w:color="000000"/>
              <w:left w:val="nil"/>
              <w:bottom w:val="nil"/>
              <w:right w:val="nil"/>
            </w:tcBorders>
          </w:tcPr>
          <w:p w14:paraId="29D06A8F" w14:textId="77777777" w:rsidR="006562CA" w:rsidRDefault="006562CA" w:rsidP="00985BDF">
            <w:pPr>
              <w:spacing w:line="259" w:lineRule="auto"/>
              <w:ind w:left="128"/>
            </w:pPr>
            <w:r>
              <w:rPr>
                <w:color w:val="FF0000"/>
              </w:rPr>
              <w:t>8.89%</w:t>
            </w:r>
          </w:p>
        </w:tc>
        <w:tc>
          <w:tcPr>
            <w:tcW w:w="686" w:type="dxa"/>
            <w:tcBorders>
              <w:top w:val="single" w:sz="4" w:space="0" w:color="000000"/>
              <w:left w:val="nil"/>
              <w:bottom w:val="nil"/>
              <w:right w:val="nil"/>
            </w:tcBorders>
          </w:tcPr>
          <w:p w14:paraId="3B94AA9E" w14:textId="77777777" w:rsidR="006562CA" w:rsidRDefault="006562CA" w:rsidP="00985BDF">
            <w:pPr>
              <w:spacing w:line="259" w:lineRule="auto"/>
            </w:pPr>
            <w:r>
              <w:t>2.50%</w:t>
            </w:r>
          </w:p>
        </w:tc>
      </w:tr>
      <w:tr w:rsidR="006562CA" w14:paraId="5C2F2704" w14:textId="77777777" w:rsidTr="00985BDF">
        <w:trPr>
          <w:trHeight w:val="271"/>
        </w:trPr>
        <w:tc>
          <w:tcPr>
            <w:tcW w:w="1202" w:type="dxa"/>
            <w:tcBorders>
              <w:top w:val="nil"/>
              <w:left w:val="nil"/>
              <w:bottom w:val="nil"/>
              <w:right w:val="nil"/>
            </w:tcBorders>
          </w:tcPr>
          <w:p w14:paraId="43EB0BF6" w14:textId="77777777" w:rsidR="006562CA" w:rsidRDefault="006562CA" w:rsidP="00985BDF">
            <w:pPr>
              <w:spacing w:line="259" w:lineRule="auto"/>
              <w:ind w:left="120"/>
            </w:pPr>
            <w:r>
              <w:t>Pfizer</w:t>
            </w:r>
          </w:p>
        </w:tc>
        <w:tc>
          <w:tcPr>
            <w:tcW w:w="806" w:type="dxa"/>
            <w:tcBorders>
              <w:top w:val="nil"/>
              <w:left w:val="nil"/>
              <w:bottom w:val="nil"/>
              <w:right w:val="nil"/>
            </w:tcBorders>
          </w:tcPr>
          <w:p w14:paraId="2B36A832" w14:textId="77777777" w:rsidR="006562CA" w:rsidRDefault="006562CA" w:rsidP="00985BDF">
            <w:pPr>
              <w:spacing w:line="259" w:lineRule="auto"/>
            </w:pPr>
            <w:r>
              <w:rPr>
                <w:color w:val="FF0000"/>
              </w:rPr>
              <w:t>6.10%</w:t>
            </w:r>
          </w:p>
        </w:tc>
        <w:tc>
          <w:tcPr>
            <w:tcW w:w="1396" w:type="dxa"/>
            <w:tcBorders>
              <w:top w:val="nil"/>
              <w:left w:val="nil"/>
              <w:bottom w:val="nil"/>
              <w:right w:val="nil"/>
            </w:tcBorders>
          </w:tcPr>
          <w:p w14:paraId="6ADF591B" w14:textId="77777777" w:rsidR="006562CA" w:rsidRDefault="006562CA" w:rsidP="00985BDF">
            <w:pPr>
              <w:spacing w:line="259" w:lineRule="auto"/>
              <w:ind w:left="591"/>
            </w:pPr>
            <w:r>
              <w:rPr>
                <w:color w:val="FF0000"/>
              </w:rPr>
              <w:t>6.56%</w:t>
            </w:r>
          </w:p>
        </w:tc>
        <w:tc>
          <w:tcPr>
            <w:tcW w:w="1155" w:type="dxa"/>
            <w:tcBorders>
              <w:top w:val="nil"/>
              <w:left w:val="nil"/>
              <w:bottom w:val="nil"/>
              <w:right w:val="nil"/>
            </w:tcBorders>
          </w:tcPr>
          <w:p w14:paraId="156A63F0" w14:textId="77777777" w:rsidR="006562CA" w:rsidRDefault="006562CA" w:rsidP="00985BDF">
            <w:pPr>
              <w:spacing w:line="259" w:lineRule="auto"/>
              <w:ind w:left="226"/>
              <w:jc w:val="center"/>
            </w:pPr>
            <w:r>
              <w:t>3.28%</w:t>
            </w:r>
          </w:p>
        </w:tc>
        <w:tc>
          <w:tcPr>
            <w:tcW w:w="1149" w:type="dxa"/>
            <w:tcBorders>
              <w:top w:val="nil"/>
              <w:left w:val="nil"/>
              <w:bottom w:val="nil"/>
              <w:right w:val="nil"/>
            </w:tcBorders>
          </w:tcPr>
          <w:p w14:paraId="2D889CDF" w14:textId="77777777" w:rsidR="006562CA" w:rsidRDefault="006562CA" w:rsidP="00985BDF">
            <w:pPr>
              <w:spacing w:line="259" w:lineRule="auto"/>
              <w:ind w:left="219"/>
              <w:jc w:val="center"/>
            </w:pPr>
            <w:r>
              <w:t>3.23%</w:t>
            </w:r>
          </w:p>
        </w:tc>
        <w:tc>
          <w:tcPr>
            <w:tcW w:w="933" w:type="dxa"/>
            <w:tcBorders>
              <w:top w:val="nil"/>
              <w:left w:val="nil"/>
              <w:bottom w:val="nil"/>
              <w:right w:val="nil"/>
            </w:tcBorders>
          </w:tcPr>
          <w:p w14:paraId="6CF6D0B4" w14:textId="77777777" w:rsidR="006562CA" w:rsidRDefault="006562CA" w:rsidP="00985BDF">
            <w:pPr>
              <w:spacing w:line="259" w:lineRule="auto"/>
              <w:ind w:left="128"/>
            </w:pPr>
            <w:r>
              <w:rPr>
                <w:color w:val="FF0000"/>
              </w:rPr>
              <w:t>5.26%</w:t>
            </w:r>
          </w:p>
        </w:tc>
        <w:tc>
          <w:tcPr>
            <w:tcW w:w="686" w:type="dxa"/>
            <w:tcBorders>
              <w:top w:val="nil"/>
              <w:left w:val="nil"/>
              <w:bottom w:val="nil"/>
              <w:right w:val="nil"/>
            </w:tcBorders>
          </w:tcPr>
          <w:p w14:paraId="53B18459" w14:textId="77777777" w:rsidR="006562CA" w:rsidRDefault="006562CA" w:rsidP="00985BDF">
            <w:pPr>
              <w:spacing w:line="259" w:lineRule="auto"/>
            </w:pPr>
            <w:r>
              <w:t>4.70%</w:t>
            </w:r>
          </w:p>
        </w:tc>
      </w:tr>
      <w:tr w:rsidR="006562CA" w14:paraId="334BC06A" w14:textId="77777777" w:rsidTr="00985BDF">
        <w:trPr>
          <w:trHeight w:val="331"/>
        </w:trPr>
        <w:tc>
          <w:tcPr>
            <w:tcW w:w="1202" w:type="dxa"/>
            <w:tcBorders>
              <w:top w:val="nil"/>
              <w:left w:val="nil"/>
              <w:bottom w:val="single" w:sz="7" w:space="0" w:color="000000"/>
              <w:right w:val="nil"/>
            </w:tcBorders>
          </w:tcPr>
          <w:p w14:paraId="17F8B8BF" w14:textId="77777777" w:rsidR="006562CA" w:rsidRDefault="006562CA" w:rsidP="00985BDF">
            <w:pPr>
              <w:spacing w:line="259" w:lineRule="auto"/>
              <w:ind w:left="120"/>
            </w:pPr>
            <w:r>
              <w:t>Janssen</w:t>
            </w:r>
          </w:p>
        </w:tc>
        <w:tc>
          <w:tcPr>
            <w:tcW w:w="806" w:type="dxa"/>
            <w:tcBorders>
              <w:top w:val="nil"/>
              <w:left w:val="nil"/>
              <w:bottom w:val="single" w:sz="7" w:space="0" w:color="000000"/>
              <w:right w:val="nil"/>
            </w:tcBorders>
          </w:tcPr>
          <w:p w14:paraId="3BD42744" w14:textId="77777777" w:rsidR="006562CA" w:rsidRDefault="006562CA" w:rsidP="00985BDF">
            <w:pPr>
              <w:spacing w:line="259" w:lineRule="auto"/>
            </w:pPr>
            <w:r>
              <w:t>1.39%</w:t>
            </w:r>
          </w:p>
        </w:tc>
        <w:tc>
          <w:tcPr>
            <w:tcW w:w="1396" w:type="dxa"/>
            <w:tcBorders>
              <w:top w:val="nil"/>
              <w:left w:val="nil"/>
              <w:bottom w:val="single" w:sz="7" w:space="0" w:color="000000"/>
              <w:right w:val="nil"/>
            </w:tcBorders>
          </w:tcPr>
          <w:p w14:paraId="54F3382A" w14:textId="77777777" w:rsidR="006562CA" w:rsidRDefault="006562CA" w:rsidP="00985BDF">
            <w:pPr>
              <w:spacing w:line="259" w:lineRule="auto"/>
              <w:ind w:left="832"/>
            </w:pPr>
            <w:r>
              <w:t>NA</w:t>
            </w:r>
          </w:p>
        </w:tc>
        <w:tc>
          <w:tcPr>
            <w:tcW w:w="1155" w:type="dxa"/>
            <w:tcBorders>
              <w:top w:val="nil"/>
              <w:left w:val="nil"/>
              <w:bottom w:val="single" w:sz="7" w:space="0" w:color="000000"/>
              <w:right w:val="nil"/>
            </w:tcBorders>
          </w:tcPr>
          <w:p w14:paraId="11BE82A5" w14:textId="77777777" w:rsidR="006562CA" w:rsidRDefault="006562CA" w:rsidP="00985BDF">
            <w:pPr>
              <w:spacing w:line="259" w:lineRule="auto"/>
              <w:ind w:left="467"/>
              <w:jc w:val="center"/>
            </w:pPr>
            <w:r>
              <w:t>NA</w:t>
            </w:r>
          </w:p>
        </w:tc>
        <w:tc>
          <w:tcPr>
            <w:tcW w:w="1149" w:type="dxa"/>
            <w:tcBorders>
              <w:top w:val="nil"/>
              <w:left w:val="nil"/>
              <w:bottom w:val="single" w:sz="7" w:space="0" w:color="000000"/>
              <w:right w:val="nil"/>
            </w:tcBorders>
          </w:tcPr>
          <w:p w14:paraId="54A6B02F" w14:textId="77777777" w:rsidR="006562CA" w:rsidRDefault="006562CA" w:rsidP="00985BDF">
            <w:pPr>
              <w:spacing w:line="259" w:lineRule="auto"/>
              <w:ind w:left="460"/>
              <w:jc w:val="center"/>
            </w:pPr>
            <w:r>
              <w:t>NA</w:t>
            </w:r>
          </w:p>
        </w:tc>
        <w:tc>
          <w:tcPr>
            <w:tcW w:w="933" w:type="dxa"/>
            <w:tcBorders>
              <w:top w:val="nil"/>
              <w:left w:val="nil"/>
              <w:bottom w:val="single" w:sz="7" w:space="0" w:color="000000"/>
              <w:right w:val="nil"/>
            </w:tcBorders>
          </w:tcPr>
          <w:p w14:paraId="19C1D66A" w14:textId="77777777" w:rsidR="006562CA" w:rsidRDefault="006562CA" w:rsidP="00985BDF">
            <w:pPr>
              <w:spacing w:line="259" w:lineRule="auto"/>
              <w:ind w:left="128"/>
            </w:pPr>
            <w:r>
              <w:t>0.00%</w:t>
            </w:r>
          </w:p>
        </w:tc>
        <w:tc>
          <w:tcPr>
            <w:tcW w:w="686" w:type="dxa"/>
            <w:tcBorders>
              <w:top w:val="nil"/>
              <w:left w:val="nil"/>
              <w:bottom w:val="single" w:sz="7" w:space="0" w:color="000000"/>
              <w:right w:val="nil"/>
            </w:tcBorders>
          </w:tcPr>
          <w:p w14:paraId="3C4B6418" w14:textId="77777777" w:rsidR="006562CA" w:rsidRDefault="006562CA" w:rsidP="00985BDF">
            <w:pPr>
              <w:spacing w:line="259" w:lineRule="auto"/>
            </w:pPr>
            <w:r>
              <w:t>0.66%</w:t>
            </w:r>
          </w:p>
        </w:tc>
      </w:tr>
    </w:tbl>
    <w:p w14:paraId="551342CD" w14:textId="4901528D" w:rsidR="006562CA" w:rsidRDefault="006562CA" w:rsidP="006562CA">
      <w:pPr>
        <w:ind w:left="-17" w:right="91"/>
        <w:jc w:val="both"/>
        <w:rPr>
          <w:rFonts w:ascii="Times New Roman" w:eastAsia="Calibri" w:hAnsi="Times New Roman" w:cs="Times New Roman"/>
          <w:b/>
          <w:bCs/>
          <w:i/>
          <w:iCs/>
        </w:rPr>
      </w:pPr>
    </w:p>
    <w:p w14:paraId="7E5344EB" w14:textId="74CA1F44" w:rsidR="006562CA" w:rsidRDefault="006562CA" w:rsidP="00EE2B22">
      <w:pPr>
        <w:spacing w:after="379"/>
        <w:ind w:left="200" w:right="91"/>
        <w:jc w:val="center"/>
      </w:pPr>
      <w:r w:rsidRPr="00EE2B22">
        <w:rPr>
          <w:rFonts w:ascii="Times New Roman" w:hAnsi="Times New Roman" w:cs="Times New Roman"/>
          <w:b/>
        </w:rPr>
        <w:t>Table 5: Covid-19 Vaccine Patient Deaths and Drug Allergies</w:t>
      </w:r>
    </w:p>
    <w:p w14:paraId="091E5A6F" w14:textId="77777777" w:rsidR="006562CA" w:rsidRPr="009B7C3F" w:rsidRDefault="006562CA" w:rsidP="006562CA">
      <w:pPr>
        <w:spacing w:line="259" w:lineRule="auto"/>
        <w:ind w:left="10" w:hanging="10"/>
        <w:jc w:val="center"/>
      </w:pPr>
    </w:p>
    <w:tbl>
      <w:tblPr>
        <w:tblStyle w:val="TableGrid0"/>
        <w:tblW w:w="3918" w:type="dxa"/>
        <w:tblInd w:w="1628" w:type="dxa"/>
        <w:tblCellMar>
          <w:right w:w="120" w:type="dxa"/>
        </w:tblCellMar>
        <w:tblLook w:val="04A0" w:firstRow="1" w:lastRow="0" w:firstColumn="1" w:lastColumn="0" w:noHBand="0" w:noVBand="1"/>
      </w:tblPr>
      <w:tblGrid>
        <w:gridCol w:w="1166"/>
        <w:gridCol w:w="1166"/>
        <w:gridCol w:w="804"/>
        <w:gridCol w:w="782"/>
      </w:tblGrid>
      <w:tr w:rsidR="006562CA" w14:paraId="63D356F2" w14:textId="77777777" w:rsidTr="006562CA">
        <w:trPr>
          <w:trHeight w:val="384"/>
        </w:trPr>
        <w:tc>
          <w:tcPr>
            <w:tcW w:w="1166" w:type="dxa"/>
            <w:tcBorders>
              <w:top w:val="single" w:sz="7" w:space="0" w:color="000000"/>
              <w:left w:val="nil"/>
              <w:bottom w:val="single" w:sz="4" w:space="0" w:color="000000"/>
              <w:right w:val="nil"/>
            </w:tcBorders>
          </w:tcPr>
          <w:p w14:paraId="57DF7A1B" w14:textId="77777777" w:rsidR="006562CA" w:rsidRDefault="006562CA" w:rsidP="00985BDF">
            <w:pPr>
              <w:spacing w:line="259" w:lineRule="auto"/>
              <w:ind w:left="120"/>
            </w:pPr>
            <w:r>
              <w:t>Vaccine</w:t>
            </w:r>
          </w:p>
        </w:tc>
        <w:tc>
          <w:tcPr>
            <w:tcW w:w="1166" w:type="dxa"/>
            <w:tcBorders>
              <w:top w:val="single" w:sz="7" w:space="0" w:color="000000"/>
              <w:left w:val="nil"/>
              <w:bottom w:val="single" w:sz="4" w:space="0" w:color="000000"/>
              <w:right w:val="nil"/>
            </w:tcBorders>
          </w:tcPr>
          <w:p w14:paraId="335C455C" w14:textId="77777777" w:rsidR="006562CA" w:rsidRDefault="006562CA" w:rsidP="00985BDF">
            <w:pPr>
              <w:spacing w:line="259" w:lineRule="auto"/>
            </w:pPr>
            <w:proofErr w:type="spellStart"/>
            <w:r>
              <w:t>Dustmites</w:t>
            </w:r>
            <w:proofErr w:type="spellEnd"/>
          </w:p>
        </w:tc>
        <w:tc>
          <w:tcPr>
            <w:tcW w:w="804" w:type="dxa"/>
            <w:tcBorders>
              <w:top w:val="single" w:sz="7" w:space="0" w:color="000000"/>
              <w:left w:val="nil"/>
              <w:bottom w:val="single" w:sz="4" w:space="0" w:color="000000"/>
              <w:right w:val="nil"/>
            </w:tcBorders>
          </w:tcPr>
          <w:p w14:paraId="75DDB54F" w14:textId="77777777" w:rsidR="006562CA" w:rsidRDefault="006562CA" w:rsidP="00985BDF">
            <w:pPr>
              <w:spacing w:line="259" w:lineRule="auto"/>
            </w:pPr>
            <w:r>
              <w:t>Pollen</w:t>
            </w:r>
          </w:p>
        </w:tc>
        <w:tc>
          <w:tcPr>
            <w:tcW w:w="782" w:type="dxa"/>
            <w:tcBorders>
              <w:top w:val="single" w:sz="7" w:space="0" w:color="000000"/>
              <w:left w:val="nil"/>
              <w:bottom w:val="single" w:sz="4" w:space="0" w:color="000000"/>
              <w:right w:val="nil"/>
            </w:tcBorders>
          </w:tcPr>
          <w:p w14:paraId="55817E33" w14:textId="77777777" w:rsidR="006562CA" w:rsidRDefault="006562CA" w:rsidP="00985BDF">
            <w:pPr>
              <w:spacing w:line="259" w:lineRule="auto"/>
              <w:ind w:left="78"/>
            </w:pPr>
            <w:proofErr w:type="spellStart"/>
            <w:r>
              <w:t>Mold</w:t>
            </w:r>
            <w:proofErr w:type="spellEnd"/>
          </w:p>
        </w:tc>
      </w:tr>
      <w:tr w:rsidR="006562CA" w14:paraId="671C18D3" w14:textId="77777777" w:rsidTr="006562CA">
        <w:trPr>
          <w:trHeight w:val="324"/>
        </w:trPr>
        <w:tc>
          <w:tcPr>
            <w:tcW w:w="1166" w:type="dxa"/>
            <w:tcBorders>
              <w:top w:val="single" w:sz="4" w:space="0" w:color="000000"/>
              <w:left w:val="nil"/>
              <w:bottom w:val="nil"/>
              <w:right w:val="nil"/>
            </w:tcBorders>
          </w:tcPr>
          <w:p w14:paraId="3DBB7BBF" w14:textId="77777777" w:rsidR="006562CA" w:rsidRDefault="006562CA" w:rsidP="00985BDF">
            <w:pPr>
              <w:spacing w:line="259" w:lineRule="auto"/>
              <w:ind w:left="120"/>
            </w:pPr>
            <w:r>
              <w:t>Moderna</w:t>
            </w:r>
          </w:p>
        </w:tc>
        <w:tc>
          <w:tcPr>
            <w:tcW w:w="1166" w:type="dxa"/>
            <w:tcBorders>
              <w:top w:val="single" w:sz="4" w:space="0" w:color="000000"/>
              <w:left w:val="nil"/>
              <w:bottom w:val="nil"/>
              <w:right w:val="nil"/>
            </w:tcBorders>
          </w:tcPr>
          <w:p w14:paraId="5C873590" w14:textId="77777777" w:rsidR="006562CA" w:rsidRDefault="006562CA" w:rsidP="00985BDF">
            <w:pPr>
              <w:spacing w:line="259" w:lineRule="auto"/>
              <w:ind w:left="277"/>
              <w:jc w:val="center"/>
            </w:pPr>
            <w:r>
              <w:t>2.22%</w:t>
            </w:r>
          </w:p>
        </w:tc>
        <w:tc>
          <w:tcPr>
            <w:tcW w:w="804" w:type="dxa"/>
            <w:tcBorders>
              <w:top w:val="single" w:sz="4" w:space="0" w:color="000000"/>
              <w:left w:val="nil"/>
              <w:bottom w:val="nil"/>
              <w:right w:val="nil"/>
            </w:tcBorders>
          </w:tcPr>
          <w:p w14:paraId="4A1EB3B9" w14:textId="77777777" w:rsidR="006562CA" w:rsidRDefault="006562CA" w:rsidP="00985BDF">
            <w:pPr>
              <w:spacing w:line="259" w:lineRule="auto"/>
              <w:ind w:left="21"/>
            </w:pPr>
            <w:r>
              <w:t>2.24%</w:t>
            </w:r>
          </w:p>
        </w:tc>
        <w:tc>
          <w:tcPr>
            <w:tcW w:w="782" w:type="dxa"/>
            <w:tcBorders>
              <w:top w:val="single" w:sz="4" w:space="0" w:color="000000"/>
              <w:left w:val="nil"/>
              <w:bottom w:val="nil"/>
              <w:right w:val="nil"/>
            </w:tcBorders>
          </w:tcPr>
          <w:p w14:paraId="16E194F4" w14:textId="77777777" w:rsidR="006562CA" w:rsidRDefault="006562CA" w:rsidP="00985BDF">
            <w:pPr>
              <w:spacing w:line="259" w:lineRule="auto"/>
            </w:pPr>
            <w:r>
              <w:t>0.00%</w:t>
            </w:r>
          </w:p>
        </w:tc>
      </w:tr>
      <w:tr w:rsidR="006562CA" w14:paraId="1BBDC8EB" w14:textId="77777777" w:rsidTr="006562CA">
        <w:trPr>
          <w:trHeight w:val="271"/>
        </w:trPr>
        <w:tc>
          <w:tcPr>
            <w:tcW w:w="1166" w:type="dxa"/>
            <w:tcBorders>
              <w:top w:val="nil"/>
              <w:left w:val="nil"/>
              <w:bottom w:val="nil"/>
              <w:right w:val="nil"/>
            </w:tcBorders>
          </w:tcPr>
          <w:p w14:paraId="3BF13BBB" w14:textId="77777777" w:rsidR="006562CA" w:rsidRDefault="006562CA" w:rsidP="00985BDF">
            <w:pPr>
              <w:spacing w:line="259" w:lineRule="auto"/>
              <w:ind w:left="120"/>
            </w:pPr>
            <w:r>
              <w:t>Pfizer</w:t>
            </w:r>
          </w:p>
        </w:tc>
        <w:tc>
          <w:tcPr>
            <w:tcW w:w="1166" w:type="dxa"/>
            <w:tcBorders>
              <w:top w:val="nil"/>
              <w:left w:val="nil"/>
              <w:bottom w:val="nil"/>
              <w:right w:val="nil"/>
            </w:tcBorders>
          </w:tcPr>
          <w:p w14:paraId="308D500C" w14:textId="77777777" w:rsidR="006562CA" w:rsidRDefault="006562CA" w:rsidP="00985BDF">
            <w:pPr>
              <w:spacing w:line="259" w:lineRule="auto"/>
              <w:ind w:left="638"/>
            </w:pPr>
            <w:r>
              <w:t>NA</w:t>
            </w:r>
          </w:p>
        </w:tc>
        <w:tc>
          <w:tcPr>
            <w:tcW w:w="804" w:type="dxa"/>
            <w:tcBorders>
              <w:top w:val="nil"/>
              <w:left w:val="nil"/>
              <w:bottom w:val="nil"/>
              <w:right w:val="nil"/>
            </w:tcBorders>
          </w:tcPr>
          <w:p w14:paraId="3844B167" w14:textId="77777777" w:rsidR="006562CA" w:rsidRDefault="006562CA" w:rsidP="00985BDF">
            <w:pPr>
              <w:spacing w:line="259" w:lineRule="auto"/>
              <w:ind w:left="21"/>
            </w:pPr>
            <w:r>
              <w:t>2.15%</w:t>
            </w:r>
          </w:p>
        </w:tc>
        <w:tc>
          <w:tcPr>
            <w:tcW w:w="782" w:type="dxa"/>
            <w:tcBorders>
              <w:top w:val="nil"/>
              <w:left w:val="nil"/>
              <w:bottom w:val="nil"/>
              <w:right w:val="nil"/>
            </w:tcBorders>
          </w:tcPr>
          <w:p w14:paraId="3E569C7A" w14:textId="77777777" w:rsidR="006562CA" w:rsidRDefault="006562CA" w:rsidP="00985BDF">
            <w:pPr>
              <w:spacing w:line="259" w:lineRule="auto"/>
            </w:pPr>
            <w:r>
              <w:t>3.51%</w:t>
            </w:r>
          </w:p>
        </w:tc>
      </w:tr>
      <w:tr w:rsidR="006562CA" w14:paraId="2C61A183" w14:textId="77777777" w:rsidTr="00E0396D">
        <w:trPr>
          <w:trHeight w:val="331"/>
        </w:trPr>
        <w:tc>
          <w:tcPr>
            <w:tcW w:w="1166" w:type="dxa"/>
            <w:tcBorders>
              <w:top w:val="nil"/>
              <w:left w:val="nil"/>
              <w:bottom w:val="nil"/>
              <w:right w:val="nil"/>
            </w:tcBorders>
          </w:tcPr>
          <w:p w14:paraId="5AD1959E" w14:textId="77777777" w:rsidR="006562CA" w:rsidRDefault="006562CA" w:rsidP="00985BDF">
            <w:pPr>
              <w:spacing w:line="259" w:lineRule="auto"/>
              <w:ind w:left="120"/>
            </w:pPr>
            <w:r>
              <w:t>Janssen</w:t>
            </w:r>
          </w:p>
        </w:tc>
        <w:tc>
          <w:tcPr>
            <w:tcW w:w="1166" w:type="dxa"/>
            <w:tcBorders>
              <w:top w:val="nil"/>
              <w:left w:val="nil"/>
              <w:bottom w:val="nil"/>
              <w:right w:val="nil"/>
            </w:tcBorders>
          </w:tcPr>
          <w:p w14:paraId="3565BBB8" w14:textId="77777777" w:rsidR="006562CA" w:rsidRDefault="006562CA" w:rsidP="00985BDF">
            <w:pPr>
              <w:spacing w:line="259" w:lineRule="auto"/>
              <w:ind w:left="638"/>
            </w:pPr>
            <w:r>
              <w:t>NA</w:t>
            </w:r>
          </w:p>
        </w:tc>
        <w:tc>
          <w:tcPr>
            <w:tcW w:w="804" w:type="dxa"/>
            <w:tcBorders>
              <w:top w:val="nil"/>
              <w:left w:val="nil"/>
              <w:bottom w:val="nil"/>
              <w:right w:val="nil"/>
            </w:tcBorders>
          </w:tcPr>
          <w:p w14:paraId="1ADF5C36" w14:textId="77777777" w:rsidR="006562CA" w:rsidRDefault="006562CA" w:rsidP="00985BDF">
            <w:pPr>
              <w:spacing w:line="259" w:lineRule="auto"/>
              <w:ind w:left="21"/>
            </w:pPr>
            <w:r>
              <w:t>0.00%</w:t>
            </w:r>
          </w:p>
        </w:tc>
        <w:tc>
          <w:tcPr>
            <w:tcW w:w="782" w:type="dxa"/>
            <w:tcBorders>
              <w:top w:val="nil"/>
              <w:left w:val="nil"/>
              <w:bottom w:val="nil"/>
              <w:right w:val="nil"/>
            </w:tcBorders>
          </w:tcPr>
          <w:p w14:paraId="05E13958" w14:textId="77777777" w:rsidR="006562CA" w:rsidRDefault="006562CA" w:rsidP="00985BDF">
            <w:pPr>
              <w:spacing w:line="259" w:lineRule="auto"/>
            </w:pPr>
            <w:r>
              <w:t>0.00%</w:t>
            </w:r>
          </w:p>
        </w:tc>
      </w:tr>
      <w:tr w:rsidR="00E0396D" w14:paraId="17C0BDA5" w14:textId="77777777" w:rsidTr="006562CA">
        <w:trPr>
          <w:trHeight w:val="331"/>
        </w:trPr>
        <w:tc>
          <w:tcPr>
            <w:tcW w:w="1166" w:type="dxa"/>
            <w:tcBorders>
              <w:top w:val="nil"/>
              <w:left w:val="nil"/>
              <w:bottom w:val="single" w:sz="7" w:space="0" w:color="000000"/>
              <w:right w:val="nil"/>
            </w:tcBorders>
          </w:tcPr>
          <w:p w14:paraId="4F059A67" w14:textId="77777777" w:rsidR="00E0396D" w:rsidRDefault="00E0396D" w:rsidP="00985BDF">
            <w:pPr>
              <w:spacing w:line="259" w:lineRule="auto"/>
              <w:ind w:left="120"/>
            </w:pPr>
          </w:p>
        </w:tc>
        <w:tc>
          <w:tcPr>
            <w:tcW w:w="1166" w:type="dxa"/>
            <w:tcBorders>
              <w:top w:val="nil"/>
              <w:left w:val="nil"/>
              <w:bottom w:val="single" w:sz="7" w:space="0" w:color="000000"/>
              <w:right w:val="nil"/>
            </w:tcBorders>
          </w:tcPr>
          <w:p w14:paraId="250144C6" w14:textId="77777777" w:rsidR="00E0396D" w:rsidRDefault="00E0396D" w:rsidP="00985BDF">
            <w:pPr>
              <w:spacing w:line="259" w:lineRule="auto"/>
              <w:ind w:left="638"/>
            </w:pPr>
          </w:p>
        </w:tc>
        <w:tc>
          <w:tcPr>
            <w:tcW w:w="804" w:type="dxa"/>
            <w:tcBorders>
              <w:top w:val="nil"/>
              <w:left w:val="nil"/>
              <w:bottom w:val="single" w:sz="7" w:space="0" w:color="000000"/>
              <w:right w:val="nil"/>
            </w:tcBorders>
          </w:tcPr>
          <w:p w14:paraId="3CB83439" w14:textId="77777777" w:rsidR="00E0396D" w:rsidRDefault="00E0396D" w:rsidP="00985BDF">
            <w:pPr>
              <w:spacing w:line="259" w:lineRule="auto"/>
              <w:ind w:left="21"/>
            </w:pPr>
          </w:p>
        </w:tc>
        <w:tc>
          <w:tcPr>
            <w:tcW w:w="782" w:type="dxa"/>
            <w:tcBorders>
              <w:top w:val="nil"/>
              <w:left w:val="nil"/>
              <w:bottom w:val="single" w:sz="7" w:space="0" w:color="000000"/>
              <w:right w:val="nil"/>
            </w:tcBorders>
          </w:tcPr>
          <w:p w14:paraId="01B855D0" w14:textId="77777777" w:rsidR="00E0396D" w:rsidRDefault="00E0396D" w:rsidP="00985BDF">
            <w:pPr>
              <w:spacing w:line="259" w:lineRule="auto"/>
            </w:pPr>
          </w:p>
        </w:tc>
      </w:tr>
    </w:tbl>
    <w:p w14:paraId="2E963A93" w14:textId="77777777" w:rsidR="00E0396D" w:rsidRPr="00EE2B22" w:rsidRDefault="006562CA" w:rsidP="00E0396D">
      <w:pPr>
        <w:spacing w:after="379"/>
        <w:ind w:left="200" w:right="91"/>
        <w:jc w:val="center"/>
        <w:rPr>
          <w:rFonts w:ascii="Times New Roman" w:hAnsi="Times New Roman" w:cs="Times New Roman"/>
          <w:b/>
        </w:rPr>
      </w:pPr>
      <w:r w:rsidRPr="00EE2B22">
        <w:rPr>
          <w:rFonts w:ascii="Times New Roman" w:hAnsi="Times New Roman" w:cs="Times New Roman"/>
          <w:b/>
        </w:rPr>
        <w:t>Table 6: Covid-19 Vaccine Patient Deaths and Environmental Allergies</w:t>
      </w:r>
    </w:p>
    <w:p w14:paraId="4376A43B" w14:textId="53E80353" w:rsidR="006562CA" w:rsidRDefault="00E0396D" w:rsidP="00E0396D">
      <w:pPr>
        <w:spacing w:after="379"/>
        <w:ind w:left="200" w:right="91"/>
        <w:rPr>
          <w:rFonts w:ascii="Times New Roman" w:eastAsia="Calibri" w:hAnsi="Times New Roman" w:cs="Times New Roman"/>
          <w:b/>
          <w:bCs/>
          <w:i/>
          <w:iCs/>
        </w:rPr>
      </w:pPr>
      <w:r w:rsidRPr="00E0396D">
        <w:rPr>
          <w:rFonts w:ascii="Times New Roman" w:eastAsia="Calibri" w:hAnsi="Times New Roman" w:cs="Times New Roman"/>
          <w:b/>
          <w:bCs/>
          <w:i/>
          <w:iCs/>
        </w:rPr>
        <w:t>Are there patient demographic differences w.r.t. to the covid-19 vaccines and allergic reactions?</w:t>
      </w:r>
    </w:p>
    <w:p w14:paraId="7CF98739" w14:textId="77777777" w:rsidR="00873DB3" w:rsidRPr="00873DB3" w:rsidRDefault="00873DB3" w:rsidP="00873DB3">
      <w:pPr>
        <w:ind w:left="-15" w:right="91"/>
        <w:jc w:val="both"/>
        <w:rPr>
          <w:rFonts w:ascii="Times New Roman" w:hAnsi="Times New Roman" w:cs="Times New Roman"/>
        </w:rPr>
      </w:pPr>
      <w:r w:rsidRPr="00873DB3">
        <w:rPr>
          <w:rFonts w:ascii="Times New Roman" w:hAnsi="Times New Roman" w:cs="Times New Roman"/>
        </w:rPr>
        <w:t xml:space="preserve">To answer this research question we analyze the three vaccines according to patient age and gender for life-threatening reactions as shown in Table </w:t>
      </w:r>
      <w:r w:rsidRPr="00873DB3">
        <w:rPr>
          <w:rFonts w:ascii="Times New Roman" w:hAnsi="Times New Roman" w:cs="Times New Roman"/>
          <w:color w:val="FF0000"/>
        </w:rPr>
        <w:t>7</w:t>
      </w:r>
      <w:r w:rsidRPr="00873DB3">
        <w:rPr>
          <w:rFonts w:ascii="Times New Roman" w:hAnsi="Times New Roman" w:cs="Times New Roman"/>
        </w:rPr>
        <w:t>.</w:t>
      </w:r>
    </w:p>
    <w:p w14:paraId="0DB50EB1" w14:textId="77777777" w:rsidR="00873DB3" w:rsidRPr="009B7C3F" w:rsidRDefault="00873DB3" w:rsidP="00873DB3">
      <w:pPr>
        <w:ind w:left="-15" w:right="91"/>
        <w:jc w:val="both"/>
      </w:pPr>
      <w:r w:rsidRPr="00873DB3">
        <w:rPr>
          <w:rFonts w:ascii="Times New Roman" w:hAnsi="Times New Roman" w:cs="Times New Roman"/>
        </w:rPr>
        <w:t xml:space="preserve">From this data the average age of patient adverse reactions for both Moderna and Pfizer was 51.0 years versus 46.1 years for Janssen. The average age for adverse reactions is a bit misleading. During the period of study, covid-19 vaccines were eligible for patients 75 years or older, or had a compromised immune system, or </w:t>
      </w:r>
      <w:r w:rsidRPr="00873DB3">
        <w:rPr>
          <w:rFonts w:ascii="Times New Roman" w:hAnsi="Times New Roman" w:cs="Times New Roman"/>
        </w:rPr>
        <w:lastRenderedPageBreak/>
        <w:t>had a substantial risk factor or were frontline</w:t>
      </w:r>
      <w:r>
        <w:rPr>
          <w:rFonts w:ascii="Times New Roman" w:hAnsi="Times New Roman" w:cs="Times New Roman"/>
        </w:rPr>
        <w:t xml:space="preserve"> </w:t>
      </w:r>
      <w:r w:rsidRPr="009B7C3F">
        <w:t>healthcare workers. Because of the skewness of data we cannot make patient age generalizations in the absolute sense. Instead we can use the age-related data comparatively. This is to say patients of 51.0 years are not in more danger, rather that Janssen appears to a</w:t>
      </w:r>
      <w:r w:rsidRPr="009B7C3F">
        <w:rPr>
          <w:rFonts w:ascii="Calibri" w:eastAsia="Calibri" w:hAnsi="Calibri" w:cs="Calibri"/>
        </w:rPr>
        <w:t>ff</w:t>
      </w:r>
      <w:r w:rsidRPr="009B7C3F">
        <w:t>ect younger patients more than other vaccines.</w:t>
      </w:r>
    </w:p>
    <w:p w14:paraId="76016581" w14:textId="77777777" w:rsidR="00873DB3" w:rsidRPr="00873DB3" w:rsidRDefault="00873DB3" w:rsidP="00873DB3">
      <w:pPr>
        <w:ind w:left="-15" w:right="91"/>
        <w:jc w:val="both"/>
        <w:rPr>
          <w:rFonts w:ascii="Times New Roman" w:hAnsi="Times New Roman" w:cs="Times New Roman"/>
        </w:rPr>
      </w:pPr>
      <w:r w:rsidRPr="00873DB3">
        <w:rPr>
          <w:rFonts w:ascii="Times New Roman" w:hAnsi="Times New Roman" w:cs="Times New Roman"/>
        </w:rPr>
        <w:t>Also within the data females had 2.9x more reported adverse reactions than males. This is a similarly unexpected result and could also be the result of skewed data where more female healthcare workers were receiving the vaccine than male counterparts. We do not have access to such data to know this definitively so we will also use gender for comparative analysis.</w:t>
      </w:r>
    </w:p>
    <w:p w14:paraId="2E9FF176" w14:textId="77777777" w:rsidR="00873DB3" w:rsidRPr="00873DB3" w:rsidRDefault="00873DB3" w:rsidP="00873DB3">
      <w:pPr>
        <w:ind w:left="-15" w:right="91"/>
        <w:jc w:val="both"/>
        <w:rPr>
          <w:rFonts w:ascii="Times New Roman" w:hAnsi="Times New Roman" w:cs="Times New Roman"/>
        </w:rPr>
      </w:pPr>
      <w:r w:rsidRPr="00873DB3">
        <w:rPr>
          <w:rFonts w:ascii="Times New Roman" w:hAnsi="Times New Roman" w:cs="Times New Roman"/>
        </w:rPr>
        <w:t>If we were to focus on just *</w:t>
      </w:r>
      <w:proofErr w:type="spellStart"/>
      <w:r w:rsidRPr="00873DB3">
        <w:rPr>
          <w:rFonts w:ascii="Times New Roman" w:hAnsi="Times New Roman" w:cs="Times New Roman"/>
        </w:rPr>
        <w:t>cillin</w:t>
      </w:r>
      <w:proofErr w:type="spellEnd"/>
      <w:r w:rsidRPr="00873DB3">
        <w:rPr>
          <w:rFonts w:ascii="Times New Roman" w:hAnsi="Times New Roman" w:cs="Times New Roman"/>
        </w:rPr>
        <w:t xml:space="preserve"> and Sulfa drugs and their patient demographics for adverse reactions, we would arrive at Tables </w:t>
      </w:r>
      <w:r w:rsidRPr="00873DB3">
        <w:rPr>
          <w:rFonts w:ascii="Times New Roman" w:hAnsi="Times New Roman" w:cs="Times New Roman"/>
          <w:color w:val="FF0000"/>
        </w:rPr>
        <w:t xml:space="preserve">8 </w:t>
      </w:r>
      <w:r w:rsidRPr="00873DB3">
        <w:rPr>
          <w:rFonts w:ascii="Times New Roman" w:hAnsi="Times New Roman" w:cs="Times New Roman"/>
        </w:rPr>
        <w:t xml:space="preserve">and </w:t>
      </w:r>
      <w:r w:rsidRPr="00873DB3">
        <w:rPr>
          <w:rFonts w:ascii="Times New Roman" w:hAnsi="Times New Roman" w:cs="Times New Roman"/>
          <w:color w:val="FF0000"/>
        </w:rPr>
        <w:t xml:space="preserve">9 </w:t>
      </w:r>
      <w:r w:rsidRPr="00873DB3">
        <w:rPr>
          <w:rFonts w:ascii="Times New Roman" w:hAnsi="Times New Roman" w:cs="Times New Roman"/>
        </w:rPr>
        <w:t>respectively.</w:t>
      </w:r>
    </w:p>
    <w:p w14:paraId="0BC59F21" w14:textId="48FF0F69" w:rsidR="00873DB3" w:rsidRPr="00873DB3" w:rsidRDefault="00873DB3" w:rsidP="00873DB3">
      <w:pPr>
        <w:ind w:left="-15" w:right="91"/>
        <w:jc w:val="both"/>
        <w:rPr>
          <w:rFonts w:ascii="Times New Roman" w:hAnsi="Times New Roman" w:cs="Times New Roman"/>
        </w:rPr>
      </w:pPr>
    </w:p>
    <w:tbl>
      <w:tblPr>
        <w:tblStyle w:val="TableGrid0"/>
        <w:tblW w:w="5898" w:type="dxa"/>
        <w:tblInd w:w="638" w:type="dxa"/>
        <w:tblCellMar>
          <w:right w:w="115" w:type="dxa"/>
        </w:tblCellMar>
        <w:tblLook w:val="04A0" w:firstRow="1" w:lastRow="0" w:firstColumn="1" w:lastColumn="0" w:noHBand="0" w:noVBand="1"/>
      </w:tblPr>
      <w:tblGrid>
        <w:gridCol w:w="1190"/>
        <w:gridCol w:w="987"/>
        <w:gridCol w:w="722"/>
        <w:gridCol w:w="901"/>
        <w:gridCol w:w="1402"/>
        <w:gridCol w:w="696"/>
      </w:tblGrid>
      <w:tr w:rsidR="00873DB3" w14:paraId="37E003DD" w14:textId="77777777" w:rsidTr="00873DB3">
        <w:trPr>
          <w:trHeight w:val="384"/>
        </w:trPr>
        <w:tc>
          <w:tcPr>
            <w:tcW w:w="1190" w:type="dxa"/>
            <w:tcBorders>
              <w:top w:val="single" w:sz="7" w:space="0" w:color="000000"/>
              <w:left w:val="nil"/>
              <w:bottom w:val="single" w:sz="4" w:space="0" w:color="000000"/>
              <w:right w:val="nil"/>
            </w:tcBorders>
          </w:tcPr>
          <w:p w14:paraId="349F44E1" w14:textId="77777777" w:rsidR="00873DB3" w:rsidRDefault="00873DB3" w:rsidP="00985BDF">
            <w:pPr>
              <w:spacing w:line="259" w:lineRule="auto"/>
              <w:ind w:left="120"/>
            </w:pPr>
            <w:r>
              <w:t>Vaccine</w:t>
            </w:r>
          </w:p>
        </w:tc>
        <w:tc>
          <w:tcPr>
            <w:tcW w:w="987" w:type="dxa"/>
            <w:tcBorders>
              <w:top w:val="single" w:sz="7" w:space="0" w:color="000000"/>
              <w:left w:val="nil"/>
              <w:bottom w:val="single" w:sz="4" w:space="0" w:color="000000"/>
              <w:right w:val="nil"/>
            </w:tcBorders>
          </w:tcPr>
          <w:p w14:paraId="5D223817" w14:textId="77777777" w:rsidR="00873DB3" w:rsidRDefault="00873DB3" w:rsidP="00985BDF">
            <w:pPr>
              <w:spacing w:line="259" w:lineRule="auto"/>
            </w:pPr>
            <w:proofErr w:type="spellStart"/>
            <w:r>
              <w:t>Avg</w:t>
            </w:r>
            <w:proofErr w:type="spellEnd"/>
            <w:r>
              <w:t xml:space="preserve"> Age</w:t>
            </w:r>
          </w:p>
        </w:tc>
        <w:tc>
          <w:tcPr>
            <w:tcW w:w="722" w:type="dxa"/>
            <w:tcBorders>
              <w:top w:val="single" w:sz="7" w:space="0" w:color="000000"/>
              <w:left w:val="nil"/>
              <w:bottom w:val="single" w:sz="4" w:space="0" w:color="000000"/>
              <w:right w:val="nil"/>
            </w:tcBorders>
          </w:tcPr>
          <w:p w14:paraId="04CEA7B8" w14:textId="77777777" w:rsidR="00873DB3" w:rsidRDefault="00873DB3" w:rsidP="00985BDF">
            <w:pPr>
              <w:spacing w:line="259" w:lineRule="auto"/>
              <w:ind w:left="30"/>
            </w:pPr>
            <w:r>
              <w:t>Male</w:t>
            </w:r>
          </w:p>
        </w:tc>
        <w:tc>
          <w:tcPr>
            <w:tcW w:w="901" w:type="dxa"/>
            <w:tcBorders>
              <w:top w:val="single" w:sz="7" w:space="0" w:color="000000"/>
              <w:left w:val="nil"/>
              <w:bottom w:val="single" w:sz="4" w:space="0" w:color="000000"/>
              <w:right w:val="nil"/>
            </w:tcBorders>
          </w:tcPr>
          <w:p w14:paraId="0704FDC3" w14:textId="77777777" w:rsidR="00873DB3" w:rsidRDefault="00873DB3" w:rsidP="00985BDF">
            <w:pPr>
              <w:spacing w:line="259" w:lineRule="auto"/>
            </w:pPr>
            <w:proofErr w:type="spellStart"/>
            <w:r>
              <w:t>Female</w:t>
            </w:r>
            <w:proofErr w:type="spellEnd"/>
          </w:p>
        </w:tc>
        <w:tc>
          <w:tcPr>
            <w:tcW w:w="1402" w:type="dxa"/>
            <w:tcBorders>
              <w:top w:val="single" w:sz="7" w:space="0" w:color="000000"/>
              <w:left w:val="nil"/>
              <w:bottom w:val="single" w:sz="4" w:space="0" w:color="000000"/>
              <w:right w:val="nil"/>
            </w:tcBorders>
          </w:tcPr>
          <w:p w14:paraId="6587D2FE" w14:textId="77777777" w:rsidR="00873DB3" w:rsidRDefault="00873DB3" w:rsidP="00985BDF">
            <w:pPr>
              <w:spacing w:line="259" w:lineRule="auto"/>
            </w:pPr>
            <w:proofErr w:type="spellStart"/>
            <w:r>
              <w:t>Hospitalized</w:t>
            </w:r>
            <w:proofErr w:type="spellEnd"/>
          </w:p>
        </w:tc>
        <w:tc>
          <w:tcPr>
            <w:tcW w:w="696" w:type="dxa"/>
            <w:tcBorders>
              <w:top w:val="single" w:sz="7" w:space="0" w:color="000000"/>
              <w:left w:val="nil"/>
              <w:bottom w:val="single" w:sz="4" w:space="0" w:color="000000"/>
              <w:right w:val="nil"/>
            </w:tcBorders>
          </w:tcPr>
          <w:p w14:paraId="26B63A1C" w14:textId="77777777" w:rsidR="00873DB3" w:rsidRDefault="00873DB3" w:rsidP="00985BDF">
            <w:pPr>
              <w:spacing w:line="259" w:lineRule="auto"/>
              <w:ind w:left="51"/>
            </w:pPr>
            <w:proofErr w:type="spellStart"/>
            <w:r>
              <w:t>Died</w:t>
            </w:r>
            <w:proofErr w:type="spellEnd"/>
          </w:p>
        </w:tc>
      </w:tr>
      <w:tr w:rsidR="00873DB3" w14:paraId="40B9B25C" w14:textId="77777777" w:rsidTr="00873DB3">
        <w:trPr>
          <w:trHeight w:val="324"/>
        </w:trPr>
        <w:tc>
          <w:tcPr>
            <w:tcW w:w="1190" w:type="dxa"/>
            <w:tcBorders>
              <w:top w:val="single" w:sz="4" w:space="0" w:color="000000"/>
              <w:left w:val="nil"/>
              <w:bottom w:val="nil"/>
              <w:right w:val="nil"/>
            </w:tcBorders>
          </w:tcPr>
          <w:p w14:paraId="2800F7E6" w14:textId="77777777" w:rsidR="00873DB3" w:rsidRDefault="00873DB3" w:rsidP="00985BDF">
            <w:pPr>
              <w:spacing w:line="259" w:lineRule="auto"/>
              <w:ind w:left="120"/>
            </w:pPr>
            <w:r>
              <w:t>Moderna</w:t>
            </w:r>
          </w:p>
        </w:tc>
        <w:tc>
          <w:tcPr>
            <w:tcW w:w="987" w:type="dxa"/>
            <w:tcBorders>
              <w:top w:val="single" w:sz="4" w:space="0" w:color="000000"/>
              <w:left w:val="nil"/>
              <w:bottom w:val="nil"/>
              <w:right w:val="nil"/>
            </w:tcBorders>
          </w:tcPr>
          <w:p w14:paraId="4832F863" w14:textId="77777777" w:rsidR="00873DB3" w:rsidRDefault="00873DB3" w:rsidP="00985BDF">
            <w:pPr>
              <w:spacing w:line="259" w:lineRule="auto"/>
              <w:ind w:left="292"/>
              <w:jc w:val="center"/>
            </w:pPr>
            <w:r>
              <w:t>51.0</w:t>
            </w:r>
          </w:p>
        </w:tc>
        <w:tc>
          <w:tcPr>
            <w:tcW w:w="722" w:type="dxa"/>
            <w:tcBorders>
              <w:top w:val="single" w:sz="4" w:space="0" w:color="000000"/>
              <w:left w:val="nil"/>
              <w:bottom w:val="nil"/>
              <w:right w:val="nil"/>
            </w:tcBorders>
          </w:tcPr>
          <w:p w14:paraId="666FD2E4" w14:textId="77777777" w:rsidR="00873DB3" w:rsidRDefault="00873DB3" w:rsidP="00985BDF">
            <w:pPr>
              <w:spacing w:line="259" w:lineRule="auto"/>
            </w:pPr>
            <w:r>
              <w:t>5,025</w:t>
            </w:r>
          </w:p>
        </w:tc>
        <w:tc>
          <w:tcPr>
            <w:tcW w:w="901" w:type="dxa"/>
            <w:tcBorders>
              <w:top w:val="single" w:sz="4" w:space="0" w:color="000000"/>
              <w:left w:val="nil"/>
              <w:bottom w:val="nil"/>
              <w:right w:val="nil"/>
            </w:tcBorders>
          </w:tcPr>
          <w:p w14:paraId="6AFA685E" w14:textId="77777777" w:rsidR="00873DB3" w:rsidRDefault="00873DB3" w:rsidP="00985BDF">
            <w:pPr>
              <w:spacing w:line="259" w:lineRule="auto"/>
              <w:ind w:left="63"/>
            </w:pPr>
            <w:r>
              <w:t>14,908</w:t>
            </w:r>
          </w:p>
        </w:tc>
        <w:tc>
          <w:tcPr>
            <w:tcW w:w="1402" w:type="dxa"/>
            <w:tcBorders>
              <w:top w:val="single" w:sz="4" w:space="0" w:color="000000"/>
              <w:left w:val="nil"/>
              <w:bottom w:val="nil"/>
              <w:right w:val="nil"/>
            </w:tcBorders>
          </w:tcPr>
          <w:p w14:paraId="2382BB70" w14:textId="77777777" w:rsidR="00873DB3" w:rsidRDefault="00873DB3" w:rsidP="00985BDF">
            <w:pPr>
              <w:spacing w:line="259" w:lineRule="auto"/>
              <w:ind w:left="670"/>
            </w:pPr>
            <w:r>
              <w:t>1,556</w:t>
            </w:r>
          </w:p>
        </w:tc>
        <w:tc>
          <w:tcPr>
            <w:tcW w:w="696" w:type="dxa"/>
            <w:tcBorders>
              <w:top w:val="single" w:sz="4" w:space="0" w:color="000000"/>
              <w:left w:val="nil"/>
              <w:bottom w:val="nil"/>
              <w:right w:val="nil"/>
            </w:tcBorders>
          </w:tcPr>
          <w:p w14:paraId="695D70B5" w14:textId="77777777" w:rsidR="00873DB3" w:rsidRDefault="00873DB3" w:rsidP="00985BDF">
            <w:pPr>
              <w:spacing w:line="259" w:lineRule="auto"/>
            </w:pPr>
            <w:r>
              <w:t>1,140</w:t>
            </w:r>
          </w:p>
        </w:tc>
      </w:tr>
      <w:tr w:rsidR="00873DB3" w14:paraId="66ADE6BF" w14:textId="77777777" w:rsidTr="00873DB3">
        <w:trPr>
          <w:trHeight w:val="271"/>
        </w:trPr>
        <w:tc>
          <w:tcPr>
            <w:tcW w:w="1190" w:type="dxa"/>
            <w:tcBorders>
              <w:top w:val="nil"/>
              <w:left w:val="nil"/>
              <w:bottom w:val="nil"/>
              <w:right w:val="nil"/>
            </w:tcBorders>
          </w:tcPr>
          <w:p w14:paraId="2EFC4EC3" w14:textId="77777777" w:rsidR="00873DB3" w:rsidRDefault="00873DB3" w:rsidP="00985BDF">
            <w:pPr>
              <w:spacing w:line="259" w:lineRule="auto"/>
              <w:ind w:left="120"/>
            </w:pPr>
            <w:r>
              <w:t>Pfizer</w:t>
            </w:r>
          </w:p>
        </w:tc>
        <w:tc>
          <w:tcPr>
            <w:tcW w:w="987" w:type="dxa"/>
            <w:tcBorders>
              <w:top w:val="nil"/>
              <w:left w:val="nil"/>
              <w:bottom w:val="nil"/>
              <w:right w:val="nil"/>
            </w:tcBorders>
          </w:tcPr>
          <w:p w14:paraId="2066526D" w14:textId="77777777" w:rsidR="00873DB3" w:rsidRDefault="00873DB3" w:rsidP="00985BDF">
            <w:pPr>
              <w:spacing w:line="259" w:lineRule="auto"/>
              <w:ind w:left="292"/>
              <w:jc w:val="center"/>
            </w:pPr>
            <w:r>
              <w:t>51.0</w:t>
            </w:r>
          </w:p>
        </w:tc>
        <w:tc>
          <w:tcPr>
            <w:tcW w:w="722" w:type="dxa"/>
            <w:tcBorders>
              <w:top w:val="nil"/>
              <w:left w:val="nil"/>
              <w:bottom w:val="nil"/>
              <w:right w:val="nil"/>
            </w:tcBorders>
          </w:tcPr>
          <w:p w14:paraId="1074F34C" w14:textId="77777777" w:rsidR="00873DB3" w:rsidRDefault="00873DB3" w:rsidP="00985BDF">
            <w:pPr>
              <w:spacing w:line="259" w:lineRule="auto"/>
            </w:pPr>
            <w:r>
              <w:t>4,966</w:t>
            </w:r>
          </w:p>
        </w:tc>
        <w:tc>
          <w:tcPr>
            <w:tcW w:w="901" w:type="dxa"/>
            <w:tcBorders>
              <w:top w:val="nil"/>
              <w:left w:val="nil"/>
              <w:bottom w:val="nil"/>
              <w:right w:val="nil"/>
            </w:tcBorders>
          </w:tcPr>
          <w:p w14:paraId="71A659F6" w14:textId="77777777" w:rsidR="00873DB3" w:rsidRDefault="00873DB3" w:rsidP="00985BDF">
            <w:pPr>
              <w:spacing w:line="259" w:lineRule="auto"/>
              <w:ind w:left="63"/>
            </w:pPr>
            <w:r>
              <w:t>14,567</w:t>
            </w:r>
          </w:p>
        </w:tc>
        <w:tc>
          <w:tcPr>
            <w:tcW w:w="1402" w:type="dxa"/>
            <w:tcBorders>
              <w:top w:val="nil"/>
              <w:left w:val="nil"/>
              <w:bottom w:val="nil"/>
              <w:right w:val="nil"/>
            </w:tcBorders>
          </w:tcPr>
          <w:p w14:paraId="15D62AC8" w14:textId="77777777" w:rsidR="00873DB3" w:rsidRDefault="00873DB3" w:rsidP="00985BDF">
            <w:pPr>
              <w:spacing w:line="259" w:lineRule="auto"/>
              <w:ind w:left="670"/>
            </w:pPr>
            <w:r>
              <w:t>1,499</w:t>
            </w:r>
          </w:p>
        </w:tc>
        <w:tc>
          <w:tcPr>
            <w:tcW w:w="696" w:type="dxa"/>
            <w:tcBorders>
              <w:top w:val="nil"/>
              <w:left w:val="nil"/>
              <w:bottom w:val="nil"/>
              <w:right w:val="nil"/>
            </w:tcBorders>
          </w:tcPr>
          <w:p w14:paraId="5433EA3C" w14:textId="77777777" w:rsidR="00873DB3" w:rsidRDefault="00873DB3" w:rsidP="00985BDF">
            <w:pPr>
              <w:spacing w:line="259" w:lineRule="auto"/>
              <w:ind w:left="169"/>
            </w:pPr>
            <w:r>
              <w:t>989</w:t>
            </w:r>
          </w:p>
        </w:tc>
      </w:tr>
      <w:tr w:rsidR="00873DB3" w14:paraId="05205E1B" w14:textId="77777777" w:rsidTr="00873DB3">
        <w:trPr>
          <w:trHeight w:val="331"/>
        </w:trPr>
        <w:tc>
          <w:tcPr>
            <w:tcW w:w="1190" w:type="dxa"/>
            <w:tcBorders>
              <w:top w:val="nil"/>
              <w:left w:val="nil"/>
              <w:bottom w:val="single" w:sz="7" w:space="0" w:color="000000"/>
              <w:right w:val="nil"/>
            </w:tcBorders>
          </w:tcPr>
          <w:p w14:paraId="387A1D41" w14:textId="77777777" w:rsidR="00873DB3" w:rsidRDefault="00873DB3" w:rsidP="00985BDF">
            <w:pPr>
              <w:spacing w:line="259" w:lineRule="auto"/>
              <w:ind w:left="120"/>
            </w:pPr>
            <w:r>
              <w:t>Janssen</w:t>
            </w:r>
          </w:p>
        </w:tc>
        <w:tc>
          <w:tcPr>
            <w:tcW w:w="987" w:type="dxa"/>
            <w:tcBorders>
              <w:top w:val="nil"/>
              <w:left w:val="nil"/>
              <w:bottom w:val="single" w:sz="7" w:space="0" w:color="000000"/>
              <w:right w:val="nil"/>
            </w:tcBorders>
          </w:tcPr>
          <w:p w14:paraId="3FC127B8" w14:textId="77777777" w:rsidR="00873DB3" w:rsidRDefault="00873DB3" w:rsidP="00985BDF">
            <w:pPr>
              <w:spacing w:line="259" w:lineRule="auto"/>
              <w:ind w:left="292"/>
              <w:jc w:val="center"/>
            </w:pPr>
            <w:r>
              <w:t>46.1</w:t>
            </w:r>
          </w:p>
        </w:tc>
        <w:tc>
          <w:tcPr>
            <w:tcW w:w="722" w:type="dxa"/>
            <w:tcBorders>
              <w:top w:val="nil"/>
              <w:left w:val="nil"/>
              <w:bottom w:val="single" w:sz="7" w:space="0" w:color="000000"/>
              <w:right w:val="nil"/>
            </w:tcBorders>
          </w:tcPr>
          <w:p w14:paraId="701DA744" w14:textId="77777777" w:rsidR="00873DB3" w:rsidRDefault="00873DB3" w:rsidP="00985BDF">
            <w:pPr>
              <w:spacing w:line="259" w:lineRule="auto"/>
            </w:pPr>
            <w:r>
              <w:t>1,540</w:t>
            </w:r>
          </w:p>
        </w:tc>
        <w:tc>
          <w:tcPr>
            <w:tcW w:w="901" w:type="dxa"/>
            <w:tcBorders>
              <w:top w:val="nil"/>
              <w:left w:val="nil"/>
              <w:bottom w:val="single" w:sz="7" w:space="0" w:color="000000"/>
              <w:right w:val="nil"/>
            </w:tcBorders>
          </w:tcPr>
          <w:p w14:paraId="3CA6CB59" w14:textId="77777777" w:rsidR="00873DB3" w:rsidRDefault="00873DB3" w:rsidP="00985BDF">
            <w:pPr>
              <w:spacing w:line="259" w:lineRule="auto"/>
              <w:ind w:left="172"/>
            </w:pPr>
            <w:r>
              <w:t>3,740</w:t>
            </w:r>
          </w:p>
        </w:tc>
        <w:tc>
          <w:tcPr>
            <w:tcW w:w="1402" w:type="dxa"/>
            <w:tcBorders>
              <w:top w:val="nil"/>
              <w:left w:val="nil"/>
              <w:bottom w:val="single" w:sz="7" w:space="0" w:color="000000"/>
              <w:right w:val="nil"/>
            </w:tcBorders>
          </w:tcPr>
          <w:p w14:paraId="65D3E1AF" w14:textId="77777777" w:rsidR="00873DB3" w:rsidRDefault="00873DB3" w:rsidP="00985BDF">
            <w:pPr>
              <w:spacing w:line="259" w:lineRule="auto"/>
              <w:ind w:left="839"/>
            </w:pPr>
            <w:r>
              <w:t>110</w:t>
            </w:r>
          </w:p>
        </w:tc>
        <w:tc>
          <w:tcPr>
            <w:tcW w:w="696" w:type="dxa"/>
            <w:tcBorders>
              <w:top w:val="nil"/>
              <w:left w:val="nil"/>
              <w:bottom w:val="single" w:sz="7" w:space="0" w:color="000000"/>
              <w:right w:val="nil"/>
            </w:tcBorders>
          </w:tcPr>
          <w:p w14:paraId="0C85D3F0" w14:textId="77777777" w:rsidR="00873DB3" w:rsidRDefault="00873DB3" w:rsidP="00985BDF">
            <w:pPr>
              <w:spacing w:line="259" w:lineRule="auto"/>
              <w:ind w:left="273"/>
              <w:jc w:val="center"/>
            </w:pPr>
            <w:r>
              <w:t>54</w:t>
            </w:r>
          </w:p>
        </w:tc>
      </w:tr>
    </w:tbl>
    <w:p w14:paraId="4C10BEF6" w14:textId="06DF38ED" w:rsidR="00873DB3" w:rsidRPr="00EE2B22" w:rsidRDefault="00873DB3" w:rsidP="00873DB3">
      <w:pPr>
        <w:spacing w:after="346" w:line="259" w:lineRule="auto"/>
        <w:ind w:left="10" w:hanging="10"/>
        <w:jc w:val="center"/>
        <w:rPr>
          <w:rFonts w:ascii="Times New Roman" w:hAnsi="Times New Roman" w:cs="Times New Roman"/>
          <w:b/>
        </w:rPr>
      </w:pPr>
      <w:r w:rsidRPr="00EE2B22">
        <w:rPr>
          <w:rFonts w:ascii="Times New Roman" w:hAnsi="Times New Roman" w:cs="Times New Roman"/>
          <w:b/>
        </w:rPr>
        <w:t>Table 7: Covid-19 Vaccine Patient Demographics</w:t>
      </w:r>
    </w:p>
    <w:tbl>
      <w:tblPr>
        <w:tblStyle w:val="TableGrid0"/>
        <w:tblW w:w="5817" w:type="dxa"/>
        <w:tblInd w:w="678" w:type="dxa"/>
        <w:tblCellMar>
          <w:right w:w="115" w:type="dxa"/>
        </w:tblCellMar>
        <w:tblLook w:val="04A0" w:firstRow="1" w:lastRow="0" w:firstColumn="1" w:lastColumn="0" w:noHBand="0" w:noVBand="1"/>
      </w:tblPr>
      <w:tblGrid>
        <w:gridCol w:w="1197"/>
        <w:gridCol w:w="1017"/>
        <w:gridCol w:w="697"/>
        <w:gridCol w:w="900"/>
        <w:gridCol w:w="1404"/>
        <w:gridCol w:w="602"/>
      </w:tblGrid>
      <w:tr w:rsidR="00873DB3" w14:paraId="4B24A283" w14:textId="77777777" w:rsidTr="00873DB3">
        <w:trPr>
          <w:trHeight w:val="384"/>
        </w:trPr>
        <w:tc>
          <w:tcPr>
            <w:tcW w:w="1197" w:type="dxa"/>
            <w:tcBorders>
              <w:top w:val="single" w:sz="7" w:space="0" w:color="000000"/>
              <w:left w:val="nil"/>
              <w:bottom w:val="single" w:sz="4" w:space="0" w:color="000000"/>
              <w:right w:val="nil"/>
            </w:tcBorders>
          </w:tcPr>
          <w:p w14:paraId="4386C2FB" w14:textId="77777777" w:rsidR="00873DB3" w:rsidRDefault="00873DB3" w:rsidP="00985BDF">
            <w:pPr>
              <w:spacing w:line="259" w:lineRule="auto"/>
              <w:ind w:left="120"/>
            </w:pPr>
            <w:r>
              <w:t>Vaccine</w:t>
            </w:r>
          </w:p>
        </w:tc>
        <w:tc>
          <w:tcPr>
            <w:tcW w:w="1017" w:type="dxa"/>
            <w:tcBorders>
              <w:top w:val="single" w:sz="7" w:space="0" w:color="000000"/>
              <w:left w:val="nil"/>
              <w:bottom w:val="single" w:sz="4" w:space="0" w:color="000000"/>
              <w:right w:val="nil"/>
            </w:tcBorders>
          </w:tcPr>
          <w:p w14:paraId="23F2F1EC" w14:textId="77777777" w:rsidR="00873DB3" w:rsidRDefault="00873DB3" w:rsidP="00985BDF">
            <w:pPr>
              <w:spacing w:line="259" w:lineRule="auto"/>
            </w:pPr>
            <w:proofErr w:type="spellStart"/>
            <w:r>
              <w:t>Avg</w:t>
            </w:r>
            <w:proofErr w:type="spellEnd"/>
            <w:r>
              <w:t xml:space="preserve"> Age</w:t>
            </w:r>
          </w:p>
        </w:tc>
        <w:tc>
          <w:tcPr>
            <w:tcW w:w="697" w:type="dxa"/>
            <w:tcBorders>
              <w:top w:val="single" w:sz="7" w:space="0" w:color="000000"/>
              <w:left w:val="nil"/>
              <w:bottom w:val="single" w:sz="4" w:space="0" w:color="000000"/>
              <w:right w:val="nil"/>
            </w:tcBorders>
          </w:tcPr>
          <w:p w14:paraId="3A37C34D" w14:textId="77777777" w:rsidR="00873DB3" w:rsidRDefault="00873DB3" w:rsidP="00985BDF">
            <w:pPr>
              <w:spacing w:line="259" w:lineRule="auto"/>
            </w:pPr>
            <w:r>
              <w:t>Male</w:t>
            </w:r>
          </w:p>
        </w:tc>
        <w:tc>
          <w:tcPr>
            <w:tcW w:w="900" w:type="dxa"/>
            <w:tcBorders>
              <w:top w:val="single" w:sz="7" w:space="0" w:color="000000"/>
              <w:left w:val="nil"/>
              <w:bottom w:val="single" w:sz="4" w:space="0" w:color="000000"/>
              <w:right w:val="nil"/>
            </w:tcBorders>
          </w:tcPr>
          <w:p w14:paraId="084C2F47" w14:textId="77777777" w:rsidR="00873DB3" w:rsidRDefault="00873DB3" w:rsidP="00985BDF">
            <w:pPr>
              <w:spacing w:line="259" w:lineRule="auto"/>
            </w:pPr>
            <w:proofErr w:type="spellStart"/>
            <w:r>
              <w:t>Female</w:t>
            </w:r>
            <w:proofErr w:type="spellEnd"/>
          </w:p>
        </w:tc>
        <w:tc>
          <w:tcPr>
            <w:tcW w:w="1404" w:type="dxa"/>
            <w:tcBorders>
              <w:top w:val="single" w:sz="7" w:space="0" w:color="000000"/>
              <w:left w:val="nil"/>
              <w:bottom w:val="single" w:sz="4" w:space="0" w:color="000000"/>
              <w:right w:val="nil"/>
            </w:tcBorders>
          </w:tcPr>
          <w:p w14:paraId="6DBE6326" w14:textId="77777777" w:rsidR="00873DB3" w:rsidRDefault="00873DB3" w:rsidP="00985BDF">
            <w:pPr>
              <w:spacing w:line="259" w:lineRule="auto"/>
            </w:pPr>
            <w:proofErr w:type="spellStart"/>
            <w:r>
              <w:t>Hospitalized</w:t>
            </w:r>
            <w:proofErr w:type="spellEnd"/>
          </w:p>
        </w:tc>
        <w:tc>
          <w:tcPr>
            <w:tcW w:w="602" w:type="dxa"/>
            <w:tcBorders>
              <w:top w:val="single" w:sz="7" w:space="0" w:color="000000"/>
              <w:left w:val="nil"/>
              <w:bottom w:val="single" w:sz="4" w:space="0" w:color="000000"/>
              <w:right w:val="nil"/>
            </w:tcBorders>
          </w:tcPr>
          <w:p w14:paraId="3BEE9706" w14:textId="77777777" w:rsidR="00873DB3" w:rsidRDefault="00873DB3" w:rsidP="00985BDF">
            <w:pPr>
              <w:spacing w:line="259" w:lineRule="auto"/>
            </w:pPr>
            <w:proofErr w:type="spellStart"/>
            <w:r>
              <w:t>Died</w:t>
            </w:r>
            <w:proofErr w:type="spellEnd"/>
          </w:p>
        </w:tc>
      </w:tr>
      <w:tr w:rsidR="00873DB3" w14:paraId="7166FC20" w14:textId="77777777" w:rsidTr="00873DB3">
        <w:trPr>
          <w:trHeight w:val="324"/>
        </w:trPr>
        <w:tc>
          <w:tcPr>
            <w:tcW w:w="1197" w:type="dxa"/>
            <w:tcBorders>
              <w:top w:val="single" w:sz="4" w:space="0" w:color="000000"/>
              <w:left w:val="nil"/>
              <w:bottom w:val="nil"/>
              <w:right w:val="nil"/>
            </w:tcBorders>
          </w:tcPr>
          <w:p w14:paraId="577B538E" w14:textId="77777777" w:rsidR="00873DB3" w:rsidRDefault="00873DB3" w:rsidP="00985BDF">
            <w:pPr>
              <w:spacing w:line="259" w:lineRule="auto"/>
              <w:ind w:left="120"/>
            </w:pPr>
            <w:r>
              <w:t>Moderna</w:t>
            </w:r>
          </w:p>
        </w:tc>
        <w:tc>
          <w:tcPr>
            <w:tcW w:w="1017" w:type="dxa"/>
            <w:tcBorders>
              <w:top w:val="single" w:sz="4" w:space="0" w:color="000000"/>
              <w:left w:val="nil"/>
              <w:bottom w:val="nil"/>
              <w:right w:val="nil"/>
            </w:tcBorders>
          </w:tcPr>
          <w:p w14:paraId="314151DE" w14:textId="77777777" w:rsidR="00873DB3" w:rsidRDefault="00873DB3" w:rsidP="00985BDF">
            <w:pPr>
              <w:spacing w:line="259" w:lineRule="auto"/>
              <w:ind w:left="292"/>
              <w:jc w:val="center"/>
            </w:pPr>
            <w:r>
              <w:t>51.8</w:t>
            </w:r>
          </w:p>
        </w:tc>
        <w:tc>
          <w:tcPr>
            <w:tcW w:w="697" w:type="dxa"/>
            <w:tcBorders>
              <w:top w:val="single" w:sz="4" w:space="0" w:color="000000"/>
              <w:left w:val="nil"/>
              <w:bottom w:val="nil"/>
              <w:right w:val="nil"/>
            </w:tcBorders>
          </w:tcPr>
          <w:p w14:paraId="31EE7EFA" w14:textId="77777777" w:rsidR="00873DB3" w:rsidRDefault="00873DB3" w:rsidP="00985BDF">
            <w:pPr>
              <w:spacing w:line="259" w:lineRule="auto"/>
              <w:ind w:left="139"/>
            </w:pPr>
            <w:r>
              <w:t>266</w:t>
            </w:r>
          </w:p>
        </w:tc>
        <w:tc>
          <w:tcPr>
            <w:tcW w:w="900" w:type="dxa"/>
            <w:tcBorders>
              <w:top w:val="single" w:sz="4" w:space="0" w:color="000000"/>
              <w:left w:val="nil"/>
              <w:bottom w:val="nil"/>
              <w:right w:val="nil"/>
            </w:tcBorders>
          </w:tcPr>
          <w:p w14:paraId="258A01AE" w14:textId="77777777" w:rsidR="00873DB3" w:rsidRDefault="00873DB3" w:rsidP="00985BDF">
            <w:pPr>
              <w:spacing w:line="259" w:lineRule="auto"/>
              <w:ind w:left="171"/>
            </w:pPr>
            <w:r>
              <w:t>1,306</w:t>
            </w:r>
          </w:p>
        </w:tc>
        <w:tc>
          <w:tcPr>
            <w:tcW w:w="1404" w:type="dxa"/>
            <w:tcBorders>
              <w:top w:val="single" w:sz="4" w:space="0" w:color="000000"/>
              <w:left w:val="nil"/>
              <w:bottom w:val="nil"/>
              <w:right w:val="nil"/>
            </w:tcBorders>
          </w:tcPr>
          <w:p w14:paraId="3A6F4747" w14:textId="77777777" w:rsidR="00873DB3" w:rsidRDefault="00873DB3" w:rsidP="00985BDF">
            <w:pPr>
              <w:spacing w:line="259" w:lineRule="auto"/>
              <w:ind w:left="947"/>
            </w:pPr>
            <w:r>
              <w:t>42</w:t>
            </w:r>
          </w:p>
        </w:tc>
        <w:tc>
          <w:tcPr>
            <w:tcW w:w="602" w:type="dxa"/>
            <w:tcBorders>
              <w:top w:val="single" w:sz="4" w:space="0" w:color="000000"/>
              <w:left w:val="nil"/>
              <w:bottom w:val="nil"/>
              <w:right w:val="nil"/>
            </w:tcBorders>
          </w:tcPr>
          <w:p w14:paraId="5A0E4B2E" w14:textId="77777777" w:rsidR="00873DB3" w:rsidRDefault="00873DB3" w:rsidP="00985BDF">
            <w:pPr>
              <w:spacing w:line="259" w:lineRule="auto"/>
              <w:ind w:left="221"/>
              <w:jc w:val="center"/>
            </w:pPr>
            <w:r>
              <w:t>62</w:t>
            </w:r>
          </w:p>
        </w:tc>
      </w:tr>
      <w:tr w:rsidR="00873DB3" w14:paraId="015DEA58" w14:textId="77777777" w:rsidTr="00873DB3">
        <w:trPr>
          <w:trHeight w:val="271"/>
        </w:trPr>
        <w:tc>
          <w:tcPr>
            <w:tcW w:w="1197" w:type="dxa"/>
            <w:tcBorders>
              <w:top w:val="nil"/>
              <w:left w:val="nil"/>
              <w:bottom w:val="nil"/>
              <w:right w:val="nil"/>
            </w:tcBorders>
          </w:tcPr>
          <w:p w14:paraId="16E33E5B" w14:textId="77777777" w:rsidR="00873DB3" w:rsidRDefault="00873DB3" w:rsidP="00985BDF">
            <w:pPr>
              <w:spacing w:line="259" w:lineRule="auto"/>
              <w:ind w:left="120"/>
            </w:pPr>
            <w:r>
              <w:t>Pfizer</w:t>
            </w:r>
          </w:p>
        </w:tc>
        <w:tc>
          <w:tcPr>
            <w:tcW w:w="1017" w:type="dxa"/>
            <w:tcBorders>
              <w:top w:val="nil"/>
              <w:left w:val="nil"/>
              <w:bottom w:val="nil"/>
              <w:right w:val="nil"/>
            </w:tcBorders>
          </w:tcPr>
          <w:p w14:paraId="26DBDDBC" w14:textId="77777777" w:rsidR="00873DB3" w:rsidRDefault="00873DB3" w:rsidP="00985BDF">
            <w:pPr>
              <w:spacing w:line="259" w:lineRule="auto"/>
              <w:ind w:left="292"/>
              <w:jc w:val="center"/>
            </w:pPr>
            <w:r>
              <w:t>52.0</w:t>
            </w:r>
          </w:p>
        </w:tc>
        <w:tc>
          <w:tcPr>
            <w:tcW w:w="697" w:type="dxa"/>
            <w:tcBorders>
              <w:top w:val="nil"/>
              <w:left w:val="nil"/>
              <w:bottom w:val="nil"/>
              <w:right w:val="nil"/>
            </w:tcBorders>
          </w:tcPr>
          <w:p w14:paraId="5BD6435F" w14:textId="77777777" w:rsidR="00873DB3" w:rsidRDefault="00873DB3" w:rsidP="00985BDF">
            <w:pPr>
              <w:spacing w:line="259" w:lineRule="auto"/>
              <w:ind w:left="139"/>
            </w:pPr>
            <w:r>
              <w:t>189</w:t>
            </w:r>
          </w:p>
        </w:tc>
        <w:tc>
          <w:tcPr>
            <w:tcW w:w="900" w:type="dxa"/>
            <w:tcBorders>
              <w:top w:val="nil"/>
              <w:left w:val="nil"/>
              <w:bottom w:val="nil"/>
              <w:right w:val="nil"/>
            </w:tcBorders>
          </w:tcPr>
          <w:p w14:paraId="45E377B1" w14:textId="77777777" w:rsidR="00873DB3" w:rsidRDefault="00873DB3" w:rsidP="00985BDF">
            <w:pPr>
              <w:spacing w:line="259" w:lineRule="auto"/>
              <w:ind w:left="217"/>
              <w:jc w:val="center"/>
            </w:pPr>
            <w:r>
              <w:t>857</w:t>
            </w:r>
          </w:p>
        </w:tc>
        <w:tc>
          <w:tcPr>
            <w:tcW w:w="1404" w:type="dxa"/>
            <w:tcBorders>
              <w:top w:val="nil"/>
              <w:left w:val="nil"/>
              <w:bottom w:val="nil"/>
              <w:right w:val="nil"/>
            </w:tcBorders>
          </w:tcPr>
          <w:p w14:paraId="42739585" w14:textId="77777777" w:rsidR="00873DB3" w:rsidRDefault="00873DB3" w:rsidP="00985BDF">
            <w:pPr>
              <w:spacing w:line="259" w:lineRule="auto"/>
              <w:ind w:left="947"/>
            </w:pPr>
            <w:r>
              <w:t>29</w:t>
            </w:r>
          </w:p>
        </w:tc>
        <w:tc>
          <w:tcPr>
            <w:tcW w:w="602" w:type="dxa"/>
            <w:tcBorders>
              <w:top w:val="nil"/>
              <w:left w:val="nil"/>
              <w:bottom w:val="nil"/>
              <w:right w:val="nil"/>
            </w:tcBorders>
          </w:tcPr>
          <w:p w14:paraId="673BEF73" w14:textId="77777777" w:rsidR="00873DB3" w:rsidRDefault="00873DB3" w:rsidP="00985BDF">
            <w:pPr>
              <w:spacing w:line="259" w:lineRule="auto"/>
              <w:ind w:left="221"/>
              <w:jc w:val="center"/>
            </w:pPr>
            <w:r>
              <w:t>64</w:t>
            </w:r>
          </w:p>
        </w:tc>
      </w:tr>
      <w:tr w:rsidR="00873DB3" w14:paraId="07ECD8D8" w14:textId="77777777" w:rsidTr="00873DB3">
        <w:trPr>
          <w:trHeight w:val="331"/>
        </w:trPr>
        <w:tc>
          <w:tcPr>
            <w:tcW w:w="1197" w:type="dxa"/>
            <w:tcBorders>
              <w:top w:val="nil"/>
              <w:left w:val="nil"/>
              <w:bottom w:val="single" w:sz="7" w:space="0" w:color="000000"/>
              <w:right w:val="nil"/>
            </w:tcBorders>
          </w:tcPr>
          <w:p w14:paraId="0AF3E419" w14:textId="77777777" w:rsidR="00873DB3" w:rsidRDefault="00873DB3" w:rsidP="00985BDF">
            <w:pPr>
              <w:spacing w:line="259" w:lineRule="auto"/>
              <w:ind w:left="120"/>
            </w:pPr>
            <w:r>
              <w:t>Janssen</w:t>
            </w:r>
          </w:p>
        </w:tc>
        <w:tc>
          <w:tcPr>
            <w:tcW w:w="1017" w:type="dxa"/>
            <w:tcBorders>
              <w:top w:val="nil"/>
              <w:left w:val="nil"/>
              <w:bottom w:val="single" w:sz="7" w:space="0" w:color="000000"/>
              <w:right w:val="nil"/>
            </w:tcBorders>
          </w:tcPr>
          <w:p w14:paraId="49825A6A" w14:textId="77777777" w:rsidR="00873DB3" w:rsidRDefault="00873DB3" w:rsidP="00985BDF">
            <w:pPr>
              <w:spacing w:line="259" w:lineRule="auto"/>
              <w:ind w:left="292"/>
              <w:jc w:val="center"/>
            </w:pPr>
            <w:r>
              <w:t>49.9</w:t>
            </w:r>
          </w:p>
        </w:tc>
        <w:tc>
          <w:tcPr>
            <w:tcW w:w="697" w:type="dxa"/>
            <w:tcBorders>
              <w:top w:val="nil"/>
              <w:left w:val="nil"/>
              <w:bottom w:val="single" w:sz="7" w:space="0" w:color="000000"/>
              <w:right w:val="nil"/>
            </w:tcBorders>
          </w:tcPr>
          <w:p w14:paraId="28D376DA" w14:textId="77777777" w:rsidR="00873DB3" w:rsidRDefault="00873DB3" w:rsidP="00985BDF">
            <w:pPr>
              <w:spacing w:line="259" w:lineRule="auto"/>
              <w:ind w:left="138"/>
            </w:pPr>
            <w:r>
              <w:t>111</w:t>
            </w:r>
          </w:p>
        </w:tc>
        <w:tc>
          <w:tcPr>
            <w:tcW w:w="900" w:type="dxa"/>
            <w:tcBorders>
              <w:top w:val="nil"/>
              <w:left w:val="nil"/>
              <w:bottom w:val="single" w:sz="7" w:space="0" w:color="000000"/>
              <w:right w:val="nil"/>
            </w:tcBorders>
          </w:tcPr>
          <w:p w14:paraId="53835F5D" w14:textId="77777777" w:rsidR="00873DB3" w:rsidRDefault="00873DB3" w:rsidP="00985BDF">
            <w:pPr>
              <w:spacing w:line="259" w:lineRule="auto"/>
              <w:ind w:left="217"/>
              <w:jc w:val="center"/>
            </w:pPr>
            <w:r>
              <w:t>392</w:t>
            </w:r>
          </w:p>
        </w:tc>
        <w:tc>
          <w:tcPr>
            <w:tcW w:w="1404" w:type="dxa"/>
            <w:tcBorders>
              <w:top w:val="nil"/>
              <w:left w:val="nil"/>
              <w:bottom w:val="single" w:sz="7" w:space="0" w:color="000000"/>
              <w:right w:val="nil"/>
            </w:tcBorders>
          </w:tcPr>
          <w:p w14:paraId="71EE4847" w14:textId="77777777" w:rsidR="00873DB3" w:rsidRDefault="00873DB3" w:rsidP="00985BDF">
            <w:pPr>
              <w:spacing w:line="259" w:lineRule="auto"/>
              <w:ind w:left="1056"/>
            </w:pPr>
            <w:r>
              <w:t>2</w:t>
            </w:r>
          </w:p>
        </w:tc>
        <w:tc>
          <w:tcPr>
            <w:tcW w:w="602" w:type="dxa"/>
            <w:tcBorders>
              <w:top w:val="nil"/>
              <w:left w:val="nil"/>
              <w:bottom w:val="single" w:sz="7" w:space="0" w:color="000000"/>
              <w:right w:val="nil"/>
            </w:tcBorders>
          </w:tcPr>
          <w:p w14:paraId="5D57AF4C" w14:textId="77777777" w:rsidR="00873DB3" w:rsidRDefault="00873DB3" w:rsidP="00985BDF">
            <w:pPr>
              <w:spacing w:line="259" w:lineRule="auto"/>
              <w:ind w:left="330"/>
              <w:jc w:val="center"/>
            </w:pPr>
            <w:r>
              <w:t>7</w:t>
            </w:r>
          </w:p>
        </w:tc>
      </w:tr>
    </w:tbl>
    <w:p w14:paraId="08BA1C83" w14:textId="287903DF" w:rsidR="00873DB3" w:rsidRPr="00EE2B22" w:rsidRDefault="00873DB3" w:rsidP="00873DB3">
      <w:pPr>
        <w:spacing w:after="145" w:line="259" w:lineRule="auto"/>
        <w:ind w:left="10" w:hanging="10"/>
        <w:jc w:val="center"/>
        <w:rPr>
          <w:b/>
        </w:rPr>
      </w:pPr>
      <w:r w:rsidRPr="00EE2B22">
        <w:rPr>
          <w:b/>
        </w:rPr>
        <w:t>Table 8: Covid-19 Vaccine Patient Demographics for *</w:t>
      </w:r>
      <w:proofErr w:type="spellStart"/>
      <w:r w:rsidRPr="00EE2B22">
        <w:rPr>
          <w:b/>
        </w:rPr>
        <w:t>cillin</w:t>
      </w:r>
      <w:proofErr w:type="spellEnd"/>
      <w:r w:rsidRPr="00EE2B22">
        <w:rPr>
          <w:b/>
        </w:rPr>
        <w:t xml:space="preserve"> Drugs</w:t>
      </w:r>
    </w:p>
    <w:p w14:paraId="45964991" w14:textId="77777777" w:rsidR="00873DB3" w:rsidRPr="009B7C3F" w:rsidRDefault="00873DB3" w:rsidP="00873DB3">
      <w:pPr>
        <w:spacing w:after="145" w:line="259" w:lineRule="auto"/>
        <w:ind w:left="10" w:hanging="10"/>
        <w:jc w:val="center"/>
      </w:pPr>
    </w:p>
    <w:tbl>
      <w:tblPr>
        <w:tblStyle w:val="TableGrid0"/>
        <w:tblW w:w="5817" w:type="dxa"/>
        <w:tblInd w:w="678" w:type="dxa"/>
        <w:tblCellMar>
          <w:right w:w="115" w:type="dxa"/>
        </w:tblCellMar>
        <w:tblLook w:val="04A0" w:firstRow="1" w:lastRow="0" w:firstColumn="1" w:lastColumn="0" w:noHBand="0" w:noVBand="1"/>
      </w:tblPr>
      <w:tblGrid>
        <w:gridCol w:w="1197"/>
        <w:gridCol w:w="1017"/>
        <w:gridCol w:w="697"/>
        <w:gridCol w:w="900"/>
        <w:gridCol w:w="1404"/>
        <w:gridCol w:w="602"/>
      </w:tblGrid>
      <w:tr w:rsidR="00873DB3" w14:paraId="0AA136EE" w14:textId="77777777" w:rsidTr="00873DB3">
        <w:trPr>
          <w:trHeight w:val="384"/>
        </w:trPr>
        <w:tc>
          <w:tcPr>
            <w:tcW w:w="1197" w:type="dxa"/>
            <w:tcBorders>
              <w:top w:val="single" w:sz="7" w:space="0" w:color="000000"/>
              <w:left w:val="nil"/>
              <w:bottom w:val="single" w:sz="4" w:space="0" w:color="000000"/>
              <w:right w:val="nil"/>
            </w:tcBorders>
          </w:tcPr>
          <w:p w14:paraId="6405FEC4" w14:textId="77777777" w:rsidR="00873DB3" w:rsidRDefault="00873DB3" w:rsidP="00985BDF">
            <w:pPr>
              <w:spacing w:line="259" w:lineRule="auto"/>
              <w:ind w:left="120"/>
            </w:pPr>
            <w:r>
              <w:t>Vaccine</w:t>
            </w:r>
          </w:p>
        </w:tc>
        <w:tc>
          <w:tcPr>
            <w:tcW w:w="1017" w:type="dxa"/>
            <w:tcBorders>
              <w:top w:val="single" w:sz="7" w:space="0" w:color="000000"/>
              <w:left w:val="nil"/>
              <w:bottom w:val="single" w:sz="4" w:space="0" w:color="000000"/>
              <w:right w:val="nil"/>
            </w:tcBorders>
          </w:tcPr>
          <w:p w14:paraId="550B9346" w14:textId="77777777" w:rsidR="00873DB3" w:rsidRDefault="00873DB3" w:rsidP="00985BDF">
            <w:pPr>
              <w:spacing w:line="259" w:lineRule="auto"/>
            </w:pPr>
            <w:proofErr w:type="spellStart"/>
            <w:r>
              <w:t>Avg</w:t>
            </w:r>
            <w:proofErr w:type="spellEnd"/>
            <w:r>
              <w:t xml:space="preserve"> Age</w:t>
            </w:r>
          </w:p>
        </w:tc>
        <w:tc>
          <w:tcPr>
            <w:tcW w:w="697" w:type="dxa"/>
            <w:tcBorders>
              <w:top w:val="single" w:sz="7" w:space="0" w:color="000000"/>
              <w:left w:val="nil"/>
              <w:bottom w:val="single" w:sz="4" w:space="0" w:color="000000"/>
              <w:right w:val="nil"/>
            </w:tcBorders>
          </w:tcPr>
          <w:p w14:paraId="381DB7C0" w14:textId="77777777" w:rsidR="00873DB3" w:rsidRDefault="00873DB3" w:rsidP="00985BDF">
            <w:pPr>
              <w:spacing w:line="259" w:lineRule="auto"/>
            </w:pPr>
            <w:r>
              <w:t>Male</w:t>
            </w:r>
          </w:p>
        </w:tc>
        <w:tc>
          <w:tcPr>
            <w:tcW w:w="900" w:type="dxa"/>
            <w:tcBorders>
              <w:top w:val="single" w:sz="7" w:space="0" w:color="000000"/>
              <w:left w:val="nil"/>
              <w:bottom w:val="single" w:sz="4" w:space="0" w:color="000000"/>
              <w:right w:val="nil"/>
            </w:tcBorders>
          </w:tcPr>
          <w:p w14:paraId="671F19FD" w14:textId="77777777" w:rsidR="00873DB3" w:rsidRDefault="00873DB3" w:rsidP="00985BDF">
            <w:pPr>
              <w:spacing w:line="259" w:lineRule="auto"/>
            </w:pPr>
            <w:proofErr w:type="spellStart"/>
            <w:r>
              <w:t>Female</w:t>
            </w:r>
            <w:proofErr w:type="spellEnd"/>
          </w:p>
        </w:tc>
        <w:tc>
          <w:tcPr>
            <w:tcW w:w="1404" w:type="dxa"/>
            <w:tcBorders>
              <w:top w:val="single" w:sz="7" w:space="0" w:color="000000"/>
              <w:left w:val="nil"/>
              <w:bottom w:val="single" w:sz="4" w:space="0" w:color="000000"/>
              <w:right w:val="nil"/>
            </w:tcBorders>
          </w:tcPr>
          <w:p w14:paraId="2F34E590" w14:textId="77777777" w:rsidR="00873DB3" w:rsidRDefault="00873DB3" w:rsidP="00985BDF">
            <w:pPr>
              <w:spacing w:line="259" w:lineRule="auto"/>
            </w:pPr>
            <w:proofErr w:type="spellStart"/>
            <w:r>
              <w:t>Hospitalized</w:t>
            </w:r>
            <w:proofErr w:type="spellEnd"/>
          </w:p>
        </w:tc>
        <w:tc>
          <w:tcPr>
            <w:tcW w:w="602" w:type="dxa"/>
            <w:tcBorders>
              <w:top w:val="single" w:sz="7" w:space="0" w:color="000000"/>
              <w:left w:val="nil"/>
              <w:bottom w:val="single" w:sz="4" w:space="0" w:color="000000"/>
              <w:right w:val="nil"/>
            </w:tcBorders>
          </w:tcPr>
          <w:p w14:paraId="1B57994F" w14:textId="77777777" w:rsidR="00873DB3" w:rsidRDefault="00873DB3" w:rsidP="00985BDF">
            <w:pPr>
              <w:spacing w:line="259" w:lineRule="auto"/>
            </w:pPr>
            <w:proofErr w:type="spellStart"/>
            <w:r>
              <w:t>Died</w:t>
            </w:r>
            <w:proofErr w:type="spellEnd"/>
          </w:p>
        </w:tc>
      </w:tr>
      <w:tr w:rsidR="00873DB3" w14:paraId="2FAFBFB9" w14:textId="77777777" w:rsidTr="00873DB3">
        <w:trPr>
          <w:trHeight w:val="324"/>
        </w:trPr>
        <w:tc>
          <w:tcPr>
            <w:tcW w:w="1197" w:type="dxa"/>
            <w:tcBorders>
              <w:top w:val="single" w:sz="4" w:space="0" w:color="000000"/>
              <w:left w:val="nil"/>
              <w:bottom w:val="nil"/>
              <w:right w:val="nil"/>
            </w:tcBorders>
          </w:tcPr>
          <w:p w14:paraId="65C50A05" w14:textId="77777777" w:rsidR="00873DB3" w:rsidRDefault="00873DB3" w:rsidP="00985BDF">
            <w:pPr>
              <w:spacing w:line="259" w:lineRule="auto"/>
              <w:ind w:left="120"/>
            </w:pPr>
            <w:r>
              <w:t>Moderna</w:t>
            </w:r>
          </w:p>
        </w:tc>
        <w:tc>
          <w:tcPr>
            <w:tcW w:w="1017" w:type="dxa"/>
            <w:tcBorders>
              <w:top w:val="single" w:sz="4" w:space="0" w:color="000000"/>
              <w:left w:val="nil"/>
              <w:bottom w:val="nil"/>
              <w:right w:val="nil"/>
            </w:tcBorders>
          </w:tcPr>
          <w:p w14:paraId="531E5F8C" w14:textId="77777777" w:rsidR="00873DB3" w:rsidRDefault="00873DB3" w:rsidP="00985BDF">
            <w:pPr>
              <w:spacing w:line="259" w:lineRule="auto"/>
              <w:ind w:left="292"/>
              <w:jc w:val="center"/>
            </w:pPr>
            <w:r>
              <w:t>52.6</w:t>
            </w:r>
          </w:p>
        </w:tc>
        <w:tc>
          <w:tcPr>
            <w:tcW w:w="697" w:type="dxa"/>
            <w:tcBorders>
              <w:top w:val="single" w:sz="4" w:space="0" w:color="000000"/>
              <w:left w:val="nil"/>
              <w:bottom w:val="nil"/>
              <w:right w:val="nil"/>
            </w:tcBorders>
          </w:tcPr>
          <w:p w14:paraId="4F444FC1" w14:textId="77777777" w:rsidR="00873DB3" w:rsidRDefault="00873DB3" w:rsidP="00985BDF">
            <w:pPr>
              <w:spacing w:line="259" w:lineRule="auto"/>
              <w:ind w:left="139"/>
            </w:pPr>
            <w:r>
              <w:t>127</w:t>
            </w:r>
          </w:p>
        </w:tc>
        <w:tc>
          <w:tcPr>
            <w:tcW w:w="900" w:type="dxa"/>
            <w:tcBorders>
              <w:top w:val="single" w:sz="4" w:space="0" w:color="000000"/>
              <w:left w:val="nil"/>
              <w:bottom w:val="nil"/>
              <w:right w:val="nil"/>
            </w:tcBorders>
          </w:tcPr>
          <w:p w14:paraId="0AB48D69" w14:textId="77777777" w:rsidR="00873DB3" w:rsidRDefault="00873DB3" w:rsidP="00985BDF">
            <w:pPr>
              <w:spacing w:line="259" w:lineRule="auto"/>
              <w:ind w:left="171"/>
            </w:pPr>
            <w:r>
              <w:t>1,189</w:t>
            </w:r>
          </w:p>
        </w:tc>
        <w:tc>
          <w:tcPr>
            <w:tcW w:w="1404" w:type="dxa"/>
            <w:tcBorders>
              <w:top w:val="single" w:sz="4" w:space="0" w:color="000000"/>
              <w:left w:val="nil"/>
              <w:bottom w:val="nil"/>
              <w:right w:val="nil"/>
            </w:tcBorders>
          </w:tcPr>
          <w:p w14:paraId="4BA1B702" w14:textId="77777777" w:rsidR="00873DB3" w:rsidRDefault="00873DB3" w:rsidP="00985BDF">
            <w:pPr>
              <w:spacing w:line="259" w:lineRule="auto"/>
              <w:ind w:left="947"/>
            </w:pPr>
            <w:r>
              <w:t>37</w:t>
            </w:r>
          </w:p>
        </w:tc>
        <w:tc>
          <w:tcPr>
            <w:tcW w:w="602" w:type="dxa"/>
            <w:tcBorders>
              <w:top w:val="single" w:sz="4" w:space="0" w:color="000000"/>
              <w:left w:val="nil"/>
              <w:bottom w:val="nil"/>
              <w:right w:val="nil"/>
            </w:tcBorders>
          </w:tcPr>
          <w:p w14:paraId="15F6949B" w14:textId="77777777" w:rsidR="00873DB3" w:rsidRDefault="00873DB3" w:rsidP="00985BDF">
            <w:pPr>
              <w:spacing w:line="259" w:lineRule="auto"/>
              <w:ind w:left="221"/>
              <w:jc w:val="center"/>
            </w:pPr>
            <w:r>
              <w:t>33</w:t>
            </w:r>
          </w:p>
        </w:tc>
      </w:tr>
      <w:tr w:rsidR="00873DB3" w14:paraId="1A1A6D98" w14:textId="77777777" w:rsidTr="00873DB3">
        <w:trPr>
          <w:trHeight w:val="271"/>
        </w:trPr>
        <w:tc>
          <w:tcPr>
            <w:tcW w:w="1197" w:type="dxa"/>
            <w:tcBorders>
              <w:top w:val="nil"/>
              <w:left w:val="nil"/>
              <w:bottom w:val="nil"/>
              <w:right w:val="nil"/>
            </w:tcBorders>
          </w:tcPr>
          <w:p w14:paraId="045AE5A4" w14:textId="77777777" w:rsidR="00873DB3" w:rsidRDefault="00873DB3" w:rsidP="00985BDF">
            <w:pPr>
              <w:spacing w:line="259" w:lineRule="auto"/>
              <w:ind w:left="120"/>
            </w:pPr>
            <w:r>
              <w:t>Pfizer</w:t>
            </w:r>
          </w:p>
        </w:tc>
        <w:tc>
          <w:tcPr>
            <w:tcW w:w="1017" w:type="dxa"/>
            <w:tcBorders>
              <w:top w:val="nil"/>
              <w:left w:val="nil"/>
              <w:bottom w:val="nil"/>
              <w:right w:val="nil"/>
            </w:tcBorders>
          </w:tcPr>
          <w:p w14:paraId="2E28785B" w14:textId="77777777" w:rsidR="00873DB3" w:rsidRDefault="00873DB3" w:rsidP="00985BDF">
            <w:pPr>
              <w:spacing w:line="259" w:lineRule="auto"/>
              <w:ind w:left="292"/>
              <w:jc w:val="center"/>
            </w:pPr>
            <w:r>
              <w:t>52.5</w:t>
            </w:r>
          </w:p>
        </w:tc>
        <w:tc>
          <w:tcPr>
            <w:tcW w:w="697" w:type="dxa"/>
            <w:tcBorders>
              <w:top w:val="nil"/>
              <w:left w:val="nil"/>
              <w:bottom w:val="nil"/>
              <w:right w:val="nil"/>
            </w:tcBorders>
          </w:tcPr>
          <w:p w14:paraId="619E023D" w14:textId="77777777" w:rsidR="00873DB3" w:rsidRDefault="00873DB3" w:rsidP="00985BDF">
            <w:pPr>
              <w:spacing w:line="259" w:lineRule="auto"/>
              <w:ind w:left="139"/>
            </w:pPr>
            <w:r>
              <w:t>100</w:t>
            </w:r>
          </w:p>
        </w:tc>
        <w:tc>
          <w:tcPr>
            <w:tcW w:w="900" w:type="dxa"/>
            <w:tcBorders>
              <w:top w:val="nil"/>
              <w:left w:val="nil"/>
              <w:bottom w:val="nil"/>
              <w:right w:val="nil"/>
            </w:tcBorders>
          </w:tcPr>
          <w:p w14:paraId="05C8CD6F" w14:textId="77777777" w:rsidR="00873DB3" w:rsidRDefault="00873DB3" w:rsidP="00985BDF">
            <w:pPr>
              <w:spacing w:line="259" w:lineRule="auto"/>
              <w:ind w:left="217"/>
              <w:jc w:val="center"/>
            </w:pPr>
            <w:r>
              <w:t>809</w:t>
            </w:r>
          </w:p>
        </w:tc>
        <w:tc>
          <w:tcPr>
            <w:tcW w:w="1404" w:type="dxa"/>
            <w:tcBorders>
              <w:top w:val="nil"/>
              <w:left w:val="nil"/>
              <w:bottom w:val="nil"/>
              <w:right w:val="nil"/>
            </w:tcBorders>
          </w:tcPr>
          <w:p w14:paraId="037DC4B0" w14:textId="77777777" w:rsidR="00873DB3" w:rsidRDefault="00873DB3" w:rsidP="00985BDF">
            <w:pPr>
              <w:spacing w:line="259" w:lineRule="auto"/>
              <w:ind w:left="947"/>
            </w:pPr>
            <w:r>
              <w:t>28</w:t>
            </w:r>
          </w:p>
        </w:tc>
        <w:tc>
          <w:tcPr>
            <w:tcW w:w="602" w:type="dxa"/>
            <w:tcBorders>
              <w:top w:val="nil"/>
              <w:left w:val="nil"/>
              <w:bottom w:val="nil"/>
              <w:right w:val="nil"/>
            </w:tcBorders>
          </w:tcPr>
          <w:p w14:paraId="0AEF519B" w14:textId="77777777" w:rsidR="00873DB3" w:rsidRDefault="00873DB3" w:rsidP="00985BDF">
            <w:pPr>
              <w:spacing w:line="259" w:lineRule="auto"/>
              <w:ind w:left="221"/>
              <w:jc w:val="center"/>
            </w:pPr>
            <w:r>
              <w:t>43</w:t>
            </w:r>
          </w:p>
        </w:tc>
      </w:tr>
      <w:tr w:rsidR="00873DB3" w14:paraId="30C6CABC" w14:textId="77777777" w:rsidTr="00873DB3">
        <w:trPr>
          <w:trHeight w:val="331"/>
        </w:trPr>
        <w:tc>
          <w:tcPr>
            <w:tcW w:w="1197" w:type="dxa"/>
            <w:tcBorders>
              <w:top w:val="nil"/>
              <w:left w:val="nil"/>
              <w:bottom w:val="single" w:sz="7" w:space="0" w:color="000000"/>
              <w:right w:val="nil"/>
            </w:tcBorders>
          </w:tcPr>
          <w:p w14:paraId="02EB223C" w14:textId="77777777" w:rsidR="00873DB3" w:rsidRDefault="00873DB3" w:rsidP="00985BDF">
            <w:pPr>
              <w:spacing w:line="259" w:lineRule="auto"/>
              <w:ind w:left="120"/>
            </w:pPr>
            <w:r>
              <w:t>Janssen</w:t>
            </w:r>
          </w:p>
        </w:tc>
        <w:tc>
          <w:tcPr>
            <w:tcW w:w="1017" w:type="dxa"/>
            <w:tcBorders>
              <w:top w:val="nil"/>
              <w:left w:val="nil"/>
              <w:bottom w:val="single" w:sz="7" w:space="0" w:color="000000"/>
              <w:right w:val="nil"/>
            </w:tcBorders>
          </w:tcPr>
          <w:p w14:paraId="118D0C40" w14:textId="77777777" w:rsidR="00873DB3" w:rsidRDefault="00873DB3" w:rsidP="00985BDF">
            <w:pPr>
              <w:spacing w:line="259" w:lineRule="auto"/>
              <w:ind w:left="292"/>
              <w:jc w:val="center"/>
            </w:pPr>
            <w:r>
              <w:t>51.5</w:t>
            </w:r>
          </w:p>
        </w:tc>
        <w:tc>
          <w:tcPr>
            <w:tcW w:w="697" w:type="dxa"/>
            <w:tcBorders>
              <w:top w:val="nil"/>
              <w:left w:val="nil"/>
              <w:bottom w:val="single" w:sz="7" w:space="0" w:color="000000"/>
              <w:right w:val="nil"/>
            </w:tcBorders>
          </w:tcPr>
          <w:p w14:paraId="6B1BAC6C" w14:textId="77777777" w:rsidR="00873DB3" w:rsidRDefault="00873DB3" w:rsidP="00985BDF">
            <w:pPr>
              <w:spacing w:line="259" w:lineRule="auto"/>
              <w:ind w:left="123"/>
              <w:jc w:val="center"/>
            </w:pPr>
            <w:r>
              <w:t>22</w:t>
            </w:r>
          </w:p>
        </w:tc>
        <w:tc>
          <w:tcPr>
            <w:tcW w:w="900" w:type="dxa"/>
            <w:tcBorders>
              <w:top w:val="nil"/>
              <w:left w:val="nil"/>
              <w:bottom w:val="single" w:sz="7" w:space="0" w:color="000000"/>
              <w:right w:val="nil"/>
            </w:tcBorders>
          </w:tcPr>
          <w:p w14:paraId="1FB28C6B" w14:textId="77777777" w:rsidR="00873DB3" w:rsidRDefault="00873DB3" w:rsidP="00985BDF">
            <w:pPr>
              <w:spacing w:line="259" w:lineRule="auto"/>
              <w:ind w:left="217"/>
              <w:jc w:val="center"/>
            </w:pPr>
            <w:r>
              <w:t>283</w:t>
            </w:r>
          </w:p>
        </w:tc>
        <w:tc>
          <w:tcPr>
            <w:tcW w:w="1404" w:type="dxa"/>
            <w:tcBorders>
              <w:top w:val="nil"/>
              <w:left w:val="nil"/>
              <w:bottom w:val="single" w:sz="7" w:space="0" w:color="000000"/>
              <w:right w:val="nil"/>
            </w:tcBorders>
          </w:tcPr>
          <w:p w14:paraId="1FC1AEFA" w14:textId="77777777" w:rsidR="00873DB3" w:rsidRDefault="00873DB3" w:rsidP="00985BDF">
            <w:pPr>
              <w:spacing w:line="259" w:lineRule="auto"/>
              <w:ind w:left="1056"/>
            </w:pPr>
            <w:r>
              <w:t>2</w:t>
            </w:r>
          </w:p>
        </w:tc>
        <w:tc>
          <w:tcPr>
            <w:tcW w:w="602" w:type="dxa"/>
            <w:tcBorders>
              <w:top w:val="nil"/>
              <w:left w:val="nil"/>
              <w:bottom w:val="single" w:sz="7" w:space="0" w:color="000000"/>
              <w:right w:val="nil"/>
            </w:tcBorders>
          </w:tcPr>
          <w:p w14:paraId="646278F2" w14:textId="77777777" w:rsidR="00873DB3" w:rsidRDefault="00873DB3" w:rsidP="00985BDF">
            <w:pPr>
              <w:spacing w:line="259" w:lineRule="auto"/>
              <w:ind w:left="330"/>
              <w:jc w:val="center"/>
            </w:pPr>
            <w:r>
              <w:t>2</w:t>
            </w:r>
          </w:p>
        </w:tc>
      </w:tr>
    </w:tbl>
    <w:p w14:paraId="0995BFF7" w14:textId="77777777" w:rsidR="00873DB3" w:rsidRPr="00EE2B22" w:rsidRDefault="00873DB3" w:rsidP="00873DB3">
      <w:pPr>
        <w:spacing w:after="209" w:line="259" w:lineRule="auto"/>
        <w:ind w:left="10" w:hanging="10"/>
        <w:jc w:val="center"/>
        <w:rPr>
          <w:b/>
        </w:rPr>
      </w:pPr>
      <w:r w:rsidRPr="00EE2B22">
        <w:rPr>
          <w:b/>
        </w:rPr>
        <w:t>Table 9: Covid-19 Vaccine Patient Demographics for Sulfa Drugs</w:t>
      </w:r>
    </w:p>
    <w:p w14:paraId="2FF674E4" w14:textId="77777777" w:rsidR="00D075FB" w:rsidRPr="00D075FB" w:rsidRDefault="00D075FB" w:rsidP="00D075FB">
      <w:pPr>
        <w:ind w:left="-15" w:right="91"/>
        <w:jc w:val="both"/>
        <w:rPr>
          <w:rFonts w:ascii="Times New Roman" w:hAnsi="Times New Roman" w:cs="Times New Roman"/>
        </w:rPr>
      </w:pPr>
      <w:r w:rsidRPr="00D075FB">
        <w:rPr>
          <w:rFonts w:ascii="Times New Roman" w:hAnsi="Times New Roman" w:cs="Times New Roman"/>
        </w:rPr>
        <w:t xml:space="preserve">From this data patient age is roughly similar to that in Table </w:t>
      </w:r>
      <w:r w:rsidRPr="00D075FB">
        <w:rPr>
          <w:rFonts w:ascii="Times New Roman" w:hAnsi="Times New Roman" w:cs="Times New Roman"/>
          <w:color w:val="auto"/>
        </w:rPr>
        <w:t>7</w:t>
      </w:r>
      <w:r w:rsidRPr="00D075FB">
        <w:rPr>
          <w:rFonts w:ascii="Times New Roman" w:hAnsi="Times New Roman" w:cs="Times New Roman"/>
        </w:rPr>
        <w:t>. However vaccine adverse e</w:t>
      </w:r>
      <w:r w:rsidRPr="00D075FB">
        <w:rPr>
          <w:rFonts w:ascii="Times New Roman" w:eastAsia="Calibri" w:hAnsi="Times New Roman" w:cs="Times New Roman"/>
        </w:rPr>
        <w:t>ff</w:t>
      </w:r>
      <w:r w:rsidRPr="00D075FB">
        <w:rPr>
          <w:rFonts w:ascii="Times New Roman" w:hAnsi="Times New Roman" w:cs="Times New Roman"/>
        </w:rPr>
        <w:t>ects appear to be a</w:t>
      </w:r>
      <w:r w:rsidRPr="00D075FB">
        <w:rPr>
          <w:rFonts w:ascii="Times New Roman" w:eastAsia="Calibri" w:hAnsi="Times New Roman" w:cs="Times New Roman"/>
        </w:rPr>
        <w:t>ff</w:t>
      </w:r>
      <w:r w:rsidRPr="00D075FB">
        <w:rPr>
          <w:rFonts w:ascii="Times New Roman" w:hAnsi="Times New Roman" w:cs="Times New Roman"/>
        </w:rPr>
        <w:t>ecting females in greater numbers, 4.5x for *</w:t>
      </w:r>
      <w:proofErr w:type="spellStart"/>
      <w:r w:rsidRPr="00D075FB">
        <w:rPr>
          <w:rFonts w:ascii="Times New Roman" w:hAnsi="Times New Roman" w:cs="Times New Roman"/>
        </w:rPr>
        <w:t>cillin</w:t>
      </w:r>
      <w:proofErr w:type="spellEnd"/>
      <w:r w:rsidRPr="00D075FB">
        <w:rPr>
          <w:rFonts w:ascii="Times New Roman" w:hAnsi="Times New Roman" w:cs="Times New Roman"/>
        </w:rPr>
        <w:t xml:space="preserve"> and 9.2x for Sulfa drugs versus 2.9x for all allergens. This significant increase in adverse e</w:t>
      </w:r>
      <w:r w:rsidRPr="00D075FB">
        <w:rPr>
          <w:rFonts w:ascii="Times New Roman" w:eastAsia="Calibri" w:hAnsi="Times New Roman" w:cs="Times New Roman"/>
        </w:rPr>
        <w:t>ff</w:t>
      </w:r>
      <w:r w:rsidRPr="00D075FB">
        <w:rPr>
          <w:rFonts w:ascii="Times New Roman" w:hAnsi="Times New Roman" w:cs="Times New Roman"/>
        </w:rPr>
        <w:t>ects for females is certainly interesting and should be studied further. Patients with life-threatening reactions appear in a lower proportion.</w:t>
      </w:r>
    </w:p>
    <w:p w14:paraId="3C9783E3" w14:textId="05F129D2" w:rsidR="00EF5CA2" w:rsidRDefault="00D075FB" w:rsidP="00EE2B22">
      <w:pPr>
        <w:ind w:left="-15" w:right="91"/>
        <w:jc w:val="both"/>
        <w:rPr>
          <w:rFonts w:ascii="Times New Roman" w:hAnsi="Times New Roman" w:cs="Times New Roman"/>
        </w:rPr>
      </w:pPr>
      <w:r w:rsidRPr="00D075FB">
        <w:rPr>
          <w:rFonts w:ascii="Times New Roman" w:hAnsi="Times New Roman" w:cs="Times New Roman"/>
        </w:rPr>
        <w:lastRenderedPageBreak/>
        <w:t xml:space="preserve">Looking deeper at age-related data, </w:t>
      </w:r>
      <w:r w:rsidRPr="00D075FB">
        <w:rPr>
          <w:rFonts w:ascii="Times New Roman" w:hAnsi="Times New Roman" w:cs="Times New Roman"/>
          <w:color w:val="auto"/>
        </w:rPr>
        <w:t xml:space="preserve">Tables 10 and 11 </w:t>
      </w:r>
      <w:r w:rsidRPr="00D075FB">
        <w:rPr>
          <w:rFonts w:ascii="Times New Roman" w:hAnsi="Times New Roman" w:cs="Times New Roman"/>
        </w:rPr>
        <w:t>show the average patient ages for adverse reactions for *</w:t>
      </w:r>
      <w:proofErr w:type="spellStart"/>
      <w:r w:rsidRPr="00D075FB">
        <w:rPr>
          <w:rFonts w:ascii="Times New Roman" w:hAnsi="Times New Roman" w:cs="Times New Roman"/>
        </w:rPr>
        <w:t>cillin</w:t>
      </w:r>
      <w:proofErr w:type="spellEnd"/>
      <w:r w:rsidRPr="00D075FB">
        <w:rPr>
          <w:rFonts w:ascii="Times New Roman" w:hAnsi="Times New Roman" w:cs="Times New Roman"/>
        </w:rPr>
        <w:t xml:space="preserve"> and Sulfa drugs respectively.</w:t>
      </w:r>
    </w:p>
    <w:p w14:paraId="0FDE13C4" w14:textId="77777777" w:rsidR="00EE2B22" w:rsidRDefault="00EE2B22" w:rsidP="00EE2B22">
      <w:pPr>
        <w:ind w:left="-15" w:right="91"/>
        <w:jc w:val="both"/>
        <w:rPr>
          <w:rFonts w:ascii="Times New Roman" w:hAnsi="Times New Roman" w:cs="Times New Roman"/>
        </w:rPr>
      </w:pPr>
    </w:p>
    <w:tbl>
      <w:tblPr>
        <w:tblStyle w:val="TableGrid0"/>
        <w:tblW w:w="4776" w:type="dxa"/>
        <w:tblInd w:w="1199" w:type="dxa"/>
        <w:tblCellMar>
          <w:right w:w="115" w:type="dxa"/>
        </w:tblCellMar>
        <w:tblLook w:val="04A0" w:firstRow="1" w:lastRow="0" w:firstColumn="1" w:lastColumn="0" w:noHBand="0" w:noVBand="1"/>
      </w:tblPr>
      <w:tblGrid>
        <w:gridCol w:w="1186"/>
        <w:gridCol w:w="680"/>
        <w:gridCol w:w="888"/>
        <w:gridCol w:w="1402"/>
        <w:gridCol w:w="620"/>
      </w:tblGrid>
      <w:tr w:rsidR="00EF5CA2" w14:paraId="02D9AA7D" w14:textId="77777777" w:rsidTr="00EF5CA2">
        <w:trPr>
          <w:trHeight w:val="384"/>
        </w:trPr>
        <w:tc>
          <w:tcPr>
            <w:tcW w:w="1186" w:type="dxa"/>
            <w:tcBorders>
              <w:top w:val="single" w:sz="7" w:space="0" w:color="000000"/>
              <w:left w:val="nil"/>
              <w:bottom w:val="single" w:sz="4" w:space="0" w:color="000000"/>
              <w:right w:val="nil"/>
            </w:tcBorders>
          </w:tcPr>
          <w:p w14:paraId="5DFC3748" w14:textId="77777777" w:rsidR="00EF5CA2" w:rsidRDefault="00EF5CA2" w:rsidP="00985BDF">
            <w:pPr>
              <w:spacing w:line="259" w:lineRule="auto"/>
              <w:ind w:left="120"/>
            </w:pPr>
            <w:r>
              <w:t>Vaccine</w:t>
            </w:r>
          </w:p>
        </w:tc>
        <w:tc>
          <w:tcPr>
            <w:tcW w:w="680" w:type="dxa"/>
            <w:tcBorders>
              <w:top w:val="single" w:sz="7" w:space="0" w:color="000000"/>
              <w:left w:val="nil"/>
              <w:bottom w:val="single" w:sz="4" w:space="0" w:color="000000"/>
              <w:right w:val="nil"/>
            </w:tcBorders>
          </w:tcPr>
          <w:p w14:paraId="2FE1ACB5" w14:textId="77777777" w:rsidR="00EF5CA2" w:rsidRDefault="00EF5CA2" w:rsidP="00985BDF">
            <w:pPr>
              <w:spacing w:line="259" w:lineRule="auto"/>
            </w:pPr>
            <w:r>
              <w:t>Male</w:t>
            </w:r>
          </w:p>
        </w:tc>
        <w:tc>
          <w:tcPr>
            <w:tcW w:w="888" w:type="dxa"/>
            <w:tcBorders>
              <w:top w:val="single" w:sz="7" w:space="0" w:color="000000"/>
              <w:left w:val="nil"/>
              <w:bottom w:val="single" w:sz="4" w:space="0" w:color="000000"/>
              <w:right w:val="nil"/>
            </w:tcBorders>
          </w:tcPr>
          <w:p w14:paraId="7FAB76A3" w14:textId="77777777" w:rsidR="00EF5CA2" w:rsidRDefault="00EF5CA2" w:rsidP="00985BDF">
            <w:pPr>
              <w:spacing w:line="259" w:lineRule="auto"/>
            </w:pPr>
            <w:proofErr w:type="spellStart"/>
            <w:r>
              <w:t>Female</w:t>
            </w:r>
            <w:proofErr w:type="spellEnd"/>
          </w:p>
        </w:tc>
        <w:tc>
          <w:tcPr>
            <w:tcW w:w="1402" w:type="dxa"/>
            <w:tcBorders>
              <w:top w:val="single" w:sz="7" w:space="0" w:color="000000"/>
              <w:left w:val="nil"/>
              <w:bottom w:val="single" w:sz="4" w:space="0" w:color="000000"/>
              <w:right w:val="nil"/>
            </w:tcBorders>
          </w:tcPr>
          <w:p w14:paraId="6FF35814" w14:textId="77777777" w:rsidR="00EF5CA2" w:rsidRDefault="00EF5CA2" w:rsidP="00985BDF">
            <w:pPr>
              <w:spacing w:line="259" w:lineRule="auto"/>
            </w:pPr>
            <w:proofErr w:type="spellStart"/>
            <w:r>
              <w:t>Hospitalized</w:t>
            </w:r>
            <w:proofErr w:type="spellEnd"/>
          </w:p>
        </w:tc>
        <w:tc>
          <w:tcPr>
            <w:tcW w:w="620" w:type="dxa"/>
            <w:tcBorders>
              <w:top w:val="single" w:sz="7" w:space="0" w:color="000000"/>
              <w:left w:val="nil"/>
              <w:bottom w:val="single" w:sz="4" w:space="0" w:color="000000"/>
              <w:right w:val="nil"/>
            </w:tcBorders>
          </w:tcPr>
          <w:p w14:paraId="6586E3AF" w14:textId="77777777" w:rsidR="00EF5CA2" w:rsidRDefault="00EF5CA2" w:rsidP="00985BDF">
            <w:pPr>
              <w:spacing w:line="259" w:lineRule="auto"/>
            </w:pPr>
            <w:proofErr w:type="spellStart"/>
            <w:r>
              <w:t>Died</w:t>
            </w:r>
            <w:proofErr w:type="spellEnd"/>
          </w:p>
        </w:tc>
      </w:tr>
      <w:tr w:rsidR="00EF5CA2" w14:paraId="4FCF1CF4" w14:textId="77777777" w:rsidTr="00EF5CA2">
        <w:trPr>
          <w:trHeight w:val="324"/>
        </w:trPr>
        <w:tc>
          <w:tcPr>
            <w:tcW w:w="1186" w:type="dxa"/>
            <w:tcBorders>
              <w:top w:val="single" w:sz="4" w:space="0" w:color="000000"/>
              <w:left w:val="nil"/>
              <w:bottom w:val="nil"/>
              <w:right w:val="nil"/>
            </w:tcBorders>
          </w:tcPr>
          <w:p w14:paraId="736E1ED3" w14:textId="77777777" w:rsidR="00EF5CA2" w:rsidRDefault="00EF5CA2" w:rsidP="00985BDF">
            <w:pPr>
              <w:spacing w:line="259" w:lineRule="auto"/>
              <w:ind w:left="120"/>
            </w:pPr>
            <w:r>
              <w:t>Moderna</w:t>
            </w:r>
          </w:p>
        </w:tc>
        <w:tc>
          <w:tcPr>
            <w:tcW w:w="680" w:type="dxa"/>
            <w:tcBorders>
              <w:top w:val="single" w:sz="4" w:space="0" w:color="000000"/>
              <w:left w:val="nil"/>
              <w:bottom w:val="nil"/>
              <w:right w:val="nil"/>
            </w:tcBorders>
          </w:tcPr>
          <w:p w14:paraId="62A1854E" w14:textId="77777777" w:rsidR="00EF5CA2" w:rsidRDefault="00EF5CA2" w:rsidP="00985BDF">
            <w:pPr>
              <w:spacing w:line="259" w:lineRule="auto"/>
              <w:ind w:left="78"/>
            </w:pPr>
            <w:r>
              <w:t>58.5</w:t>
            </w:r>
          </w:p>
        </w:tc>
        <w:tc>
          <w:tcPr>
            <w:tcW w:w="888" w:type="dxa"/>
            <w:tcBorders>
              <w:top w:val="single" w:sz="4" w:space="0" w:color="000000"/>
              <w:left w:val="nil"/>
              <w:bottom w:val="nil"/>
              <w:right w:val="nil"/>
            </w:tcBorders>
          </w:tcPr>
          <w:p w14:paraId="6983ED75" w14:textId="77777777" w:rsidR="00EF5CA2" w:rsidRDefault="00EF5CA2" w:rsidP="00985BDF">
            <w:pPr>
              <w:spacing w:line="259" w:lineRule="auto"/>
              <w:ind w:left="156"/>
              <w:jc w:val="center"/>
            </w:pPr>
            <w:r>
              <w:t>50.5</w:t>
            </w:r>
          </w:p>
        </w:tc>
        <w:tc>
          <w:tcPr>
            <w:tcW w:w="1402" w:type="dxa"/>
            <w:tcBorders>
              <w:top w:val="single" w:sz="4" w:space="0" w:color="000000"/>
              <w:left w:val="nil"/>
              <w:bottom w:val="nil"/>
              <w:right w:val="nil"/>
            </w:tcBorders>
          </w:tcPr>
          <w:p w14:paraId="05397F78" w14:textId="77777777" w:rsidR="00EF5CA2" w:rsidRDefault="00EF5CA2" w:rsidP="00985BDF">
            <w:pPr>
              <w:spacing w:line="259" w:lineRule="auto"/>
              <w:ind w:left="778"/>
            </w:pPr>
            <w:r>
              <w:t>61.0</w:t>
            </w:r>
          </w:p>
        </w:tc>
        <w:tc>
          <w:tcPr>
            <w:tcW w:w="620" w:type="dxa"/>
            <w:tcBorders>
              <w:top w:val="single" w:sz="4" w:space="0" w:color="000000"/>
              <w:left w:val="nil"/>
              <w:bottom w:val="nil"/>
              <w:right w:val="nil"/>
            </w:tcBorders>
          </w:tcPr>
          <w:p w14:paraId="09DBC988" w14:textId="77777777" w:rsidR="00EF5CA2" w:rsidRDefault="00EF5CA2" w:rsidP="00985BDF">
            <w:pPr>
              <w:spacing w:line="259" w:lineRule="auto"/>
              <w:ind w:left="57"/>
            </w:pPr>
            <w:r>
              <w:t>80.2</w:t>
            </w:r>
          </w:p>
        </w:tc>
      </w:tr>
      <w:tr w:rsidR="00EF5CA2" w14:paraId="7CD0F5A5" w14:textId="77777777" w:rsidTr="00EF5CA2">
        <w:trPr>
          <w:trHeight w:val="271"/>
        </w:trPr>
        <w:tc>
          <w:tcPr>
            <w:tcW w:w="1186" w:type="dxa"/>
            <w:tcBorders>
              <w:top w:val="nil"/>
              <w:left w:val="nil"/>
              <w:bottom w:val="nil"/>
              <w:right w:val="nil"/>
            </w:tcBorders>
          </w:tcPr>
          <w:p w14:paraId="57969F78" w14:textId="77777777" w:rsidR="00EF5CA2" w:rsidRDefault="00EF5CA2" w:rsidP="00985BDF">
            <w:pPr>
              <w:spacing w:line="259" w:lineRule="auto"/>
              <w:ind w:left="120"/>
            </w:pPr>
            <w:r>
              <w:t>Pfizer</w:t>
            </w:r>
          </w:p>
        </w:tc>
        <w:tc>
          <w:tcPr>
            <w:tcW w:w="680" w:type="dxa"/>
            <w:tcBorders>
              <w:top w:val="nil"/>
              <w:left w:val="nil"/>
              <w:bottom w:val="nil"/>
              <w:right w:val="nil"/>
            </w:tcBorders>
          </w:tcPr>
          <w:p w14:paraId="4870AED6" w14:textId="77777777" w:rsidR="00EF5CA2" w:rsidRDefault="00EF5CA2" w:rsidP="00985BDF">
            <w:pPr>
              <w:spacing w:line="259" w:lineRule="auto"/>
              <w:ind w:left="78"/>
            </w:pPr>
            <w:r>
              <w:t>57.7</w:t>
            </w:r>
          </w:p>
        </w:tc>
        <w:tc>
          <w:tcPr>
            <w:tcW w:w="888" w:type="dxa"/>
            <w:tcBorders>
              <w:top w:val="nil"/>
              <w:left w:val="nil"/>
              <w:bottom w:val="nil"/>
              <w:right w:val="nil"/>
            </w:tcBorders>
          </w:tcPr>
          <w:p w14:paraId="25F02554" w14:textId="77777777" w:rsidR="00EF5CA2" w:rsidRDefault="00EF5CA2" w:rsidP="00985BDF">
            <w:pPr>
              <w:spacing w:line="259" w:lineRule="auto"/>
              <w:ind w:left="156"/>
              <w:jc w:val="center"/>
            </w:pPr>
            <w:r>
              <w:t>50.7</w:t>
            </w:r>
          </w:p>
        </w:tc>
        <w:tc>
          <w:tcPr>
            <w:tcW w:w="1402" w:type="dxa"/>
            <w:tcBorders>
              <w:top w:val="nil"/>
              <w:left w:val="nil"/>
              <w:bottom w:val="nil"/>
              <w:right w:val="nil"/>
            </w:tcBorders>
          </w:tcPr>
          <w:p w14:paraId="08D4DC57" w14:textId="77777777" w:rsidR="00EF5CA2" w:rsidRDefault="00EF5CA2" w:rsidP="00985BDF">
            <w:pPr>
              <w:spacing w:line="259" w:lineRule="auto"/>
              <w:ind w:left="779"/>
            </w:pPr>
            <w:r>
              <w:t>55.1</w:t>
            </w:r>
          </w:p>
        </w:tc>
        <w:tc>
          <w:tcPr>
            <w:tcW w:w="620" w:type="dxa"/>
            <w:tcBorders>
              <w:top w:val="nil"/>
              <w:left w:val="nil"/>
              <w:bottom w:val="nil"/>
              <w:right w:val="nil"/>
            </w:tcBorders>
          </w:tcPr>
          <w:p w14:paraId="69159A65" w14:textId="77777777" w:rsidR="00EF5CA2" w:rsidRDefault="00EF5CA2" w:rsidP="00985BDF">
            <w:pPr>
              <w:spacing w:line="259" w:lineRule="auto"/>
              <w:ind w:left="57"/>
            </w:pPr>
            <w:r>
              <w:t>73.7</w:t>
            </w:r>
          </w:p>
        </w:tc>
      </w:tr>
      <w:tr w:rsidR="00EF5CA2" w14:paraId="215149C6" w14:textId="77777777" w:rsidTr="00EF5CA2">
        <w:trPr>
          <w:trHeight w:val="331"/>
        </w:trPr>
        <w:tc>
          <w:tcPr>
            <w:tcW w:w="1186" w:type="dxa"/>
            <w:tcBorders>
              <w:top w:val="nil"/>
              <w:left w:val="nil"/>
              <w:bottom w:val="single" w:sz="7" w:space="0" w:color="000000"/>
              <w:right w:val="nil"/>
            </w:tcBorders>
          </w:tcPr>
          <w:p w14:paraId="776CBCCA" w14:textId="77777777" w:rsidR="00EF5CA2" w:rsidRDefault="00EF5CA2" w:rsidP="00985BDF">
            <w:pPr>
              <w:spacing w:line="259" w:lineRule="auto"/>
              <w:ind w:left="120"/>
            </w:pPr>
            <w:r>
              <w:t>Janssen</w:t>
            </w:r>
          </w:p>
        </w:tc>
        <w:tc>
          <w:tcPr>
            <w:tcW w:w="680" w:type="dxa"/>
            <w:tcBorders>
              <w:top w:val="nil"/>
              <w:left w:val="nil"/>
              <w:bottom w:val="single" w:sz="7" w:space="0" w:color="000000"/>
              <w:right w:val="nil"/>
            </w:tcBorders>
          </w:tcPr>
          <w:p w14:paraId="21938958" w14:textId="77777777" w:rsidR="00EF5CA2" w:rsidRDefault="00EF5CA2" w:rsidP="00985BDF">
            <w:pPr>
              <w:spacing w:line="259" w:lineRule="auto"/>
              <w:ind w:left="78"/>
            </w:pPr>
            <w:r>
              <w:t>48.3</w:t>
            </w:r>
          </w:p>
        </w:tc>
        <w:tc>
          <w:tcPr>
            <w:tcW w:w="888" w:type="dxa"/>
            <w:tcBorders>
              <w:top w:val="nil"/>
              <w:left w:val="nil"/>
              <w:bottom w:val="single" w:sz="7" w:space="0" w:color="000000"/>
              <w:right w:val="nil"/>
            </w:tcBorders>
          </w:tcPr>
          <w:p w14:paraId="3408C777" w14:textId="77777777" w:rsidR="00EF5CA2" w:rsidRDefault="00EF5CA2" w:rsidP="00985BDF">
            <w:pPr>
              <w:spacing w:line="259" w:lineRule="auto"/>
              <w:ind w:left="156"/>
              <w:jc w:val="center"/>
            </w:pPr>
            <w:r>
              <w:t>50.4</w:t>
            </w:r>
          </w:p>
        </w:tc>
        <w:tc>
          <w:tcPr>
            <w:tcW w:w="1402" w:type="dxa"/>
            <w:tcBorders>
              <w:top w:val="nil"/>
              <w:left w:val="nil"/>
              <w:bottom w:val="single" w:sz="7" w:space="0" w:color="000000"/>
              <w:right w:val="nil"/>
            </w:tcBorders>
          </w:tcPr>
          <w:p w14:paraId="4FD8F98B" w14:textId="77777777" w:rsidR="00EF5CA2" w:rsidRDefault="00EF5CA2" w:rsidP="00985BDF">
            <w:pPr>
              <w:spacing w:line="259" w:lineRule="auto"/>
              <w:ind w:left="778"/>
            </w:pPr>
            <w:r>
              <w:t>72.5</w:t>
            </w:r>
          </w:p>
        </w:tc>
        <w:tc>
          <w:tcPr>
            <w:tcW w:w="620" w:type="dxa"/>
            <w:tcBorders>
              <w:top w:val="nil"/>
              <w:left w:val="nil"/>
              <w:bottom w:val="single" w:sz="7" w:space="0" w:color="000000"/>
              <w:right w:val="nil"/>
            </w:tcBorders>
          </w:tcPr>
          <w:p w14:paraId="51EA371E" w14:textId="77777777" w:rsidR="00EF5CA2" w:rsidRDefault="00EF5CA2" w:rsidP="00985BDF">
            <w:pPr>
              <w:spacing w:line="259" w:lineRule="auto"/>
              <w:ind w:left="57"/>
            </w:pPr>
            <w:r>
              <w:t>73.3</w:t>
            </w:r>
          </w:p>
        </w:tc>
      </w:tr>
    </w:tbl>
    <w:p w14:paraId="765F651A" w14:textId="77777777" w:rsidR="004D008F" w:rsidRPr="00EE2B22" w:rsidRDefault="004D008F" w:rsidP="004D008F">
      <w:pPr>
        <w:spacing w:after="179"/>
        <w:ind w:left="-15" w:right="91"/>
        <w:jc w:val="center"/>
        <w:rPr>
          <w:b/>
        </w:rPr>
      </w:pPr>
      <w:r w:rsidRPr="00EE2B22">
        <w:rPr>
          <w:b/>
        </w:rPr>
        <w:t>Table 10: Covid-19 Vaccine Patient Demographics Average Age for *</w:t>
      </w:r>
      <w:proofErr w:type="spellStart"/>
      <w:r w:rsidRPr="00EE2B22">
        <w:rPr>
          <w:b/>
        </w:rPr>
        <w:t>cillin</w:t>
      </w:r>
      <w:proofErr w:type="spellEnd"/>
      <w:r w:rsidRPr="00EE2B22">
        <w:rPr>
          <w:b/>
        </w:rPr>
        <w:t xml:space="preserve"> Drugs</w:t>
      </w:r>
    </w:p>
    <w:tbl>
      <w:tblPr>
        <w:tblStyle w:val="TableGrid0"/>
        <w:tblW w:w="4776" w:type="dxa"/>
        <w:tblInd w:w="1199" w:type="dxa"/>
        <w:tblCellMar>
          <w:right w:w="115" w:type="dxa"/>
        </w:tblCellMar>
        <w:tblLook w:val="04A0" w:firstRow="1" w:lastRow="0" w:firstColumn="1" w:lastColumn="0" w:noHBand="0" w:noVBand="1"/>
      </w:tblPr>
      <w:tblGrid>
        <w:gridCol w:w="1186"/>
        <w:gridCol w:w="680"/>
        <w:gridCol w:w="888"/>
        <w:gridCol w:w="1402"/>
        <w:gridCol w:w="620"/>
      </w:tblGrid>
      <w:tr w:rsidR="004D008F" w14:paraId="028AC679" w14:textId="77777777" w:rsidTr="004D008F">
        <w:trPr>
          <w:trHeight w:val="384"/>
        </w:trPr>
        <w:tc>
          <w:tcPr>
            <w:tcW w:w="1186" w:type="dxa"/>
            <w:tcBorders>
              <w:top w:val="single" w:sz="7" w:space="0" w:color="000000"/>
              <w:left w:val="nil"/>
              <w:bottom w:val="single" w:sz="4" w:space="0" w:color="000000"/>
              <w:right w:val="nil"/>
            </w:tcBorders>
          </w:tcPr>
          <w:p w14:paraId="09852E06" w14:textId="77777777" w:rsidR="004D008F" w:rsidRDefault="004D008F" w:rsidP="00985BDF">
            <w:pPr>
              <w:spacing w:line="259" w:lineRule="auto"/>
              <w:ind w:left="120"/>
            </w:pPr>
            <w:r>
              <w:t>Vaccine</w:t>
            </w:r>
          </w:p>
        </w:tc>
        <w:tc>
          <w:tcPr>
            <w:tcW w:w="680" w:type="dxa"/>
            <w:tcBorders>
              <w:top w:val="single" w:sz="7" w:space="0" w:color="000000"/>
              <w:left w:val="nil"/>
              <w:bottom w:val="single" w:sz="4" w:space="0" w:color="000000"/>
              <w:right w:val="nil"/>
            </w:tcBorders>
          </w:tcPr>
          <w:p w14:paraId="55435473" w14:textId="77777777" w:rsidR="004D008F" w:rsidRDefault="004D008F" w:rsidP="00985BDF">
            <w:pPr>
              <w:spacing w:line="259" w:lineRule="auto"/>
            </w:pPr>
            <w:r>
              <w:t>Male</w:t>
            </w:r>
          </w:p>
        </w:tc>
        <w:tc>
          <w:tcPr>
            <w:tcW w:w="888" w:type="dxa"/>
            <w:tcBorders>
              <w:top w:val="single" w:sz="7" w:space="0" w:color="000000"/>
              <w:left w:val="nil"/>
              <w:bottom w:val="single" w:sz="4" w:space="0" w:color="000000"/>
              <w:right w:val="nil"/>
            </w:tcBorders>
          </w:tcPr>
          <w:p w14:paraId="130BA96E" w14:textId="77777777" w:rsidR="004D008F" w:rsidRDefault="004D008F" w:rsidP="00985BDF">
            <w:pPr>
              <w:spacing w:line="259" w:lineRule="auto"/>
            </w:pPr>
            <w:proofErr w:type="spellStart"/>
            <w:r>
              <w:t>Female</w:t>
            </w:r>
            <w:proofErr w:type="spellEnd"/>
          </w:p>
        </w:tc>
        <w:tc>
          <w:tcPr>
            <w:tcW w:w="1402" w:type="dxa"/>
            <w:tcBorders>
              <w:top w:val="single" w:sz="7" w:space="0" w:color="000000"/>
              <w:left w:val="nil"/>
              <w:bottom w:val="single" w:sz="4" w:space="0" w:color="000000"/>
              <w:right w:val="nil"/>
            </w:tcBorders>
          </w:tcPr>
          <w:p w14:paraId="416F98C8" w14:textId="77777777" w:rsidR="004D008F" w:rsidRDefault="004D008F" w:rsidP="00985BDF">
            <w:pPr>
              <w:spacing w:line="259" w:lineRule="auto"/>
            </w:pPr>
            <w:proofErr w:type="spellStart"/>
            <w:r>
              <w:t>Hospitalized</w:t>
            </w:r>
            <w:proofErr w:type="spellEnd"/>
          </w:p>
        </w:tc>
        <w:tc>
          <w:tcPr>
            <w:tcW w:w="620" w:type="dxa"/>
            <w:tcBorders>
              <w:top w:val="single" w:sz="7" w:space="0" w:color="000000"/>
              <w:left w:val="nil"/>
              <w:bottom w:val="single" w:sz="4" w:space="0" w:color="000000"/>
              <w:right w:val="nil"/>
            </w:tcBorders>
          </w:tcPr>
          <w:p w14:paraId="714516DB" w14:textId="77777777" w:rsidR="004D008F" w:rsidRDefault="004D008F" w:rsidP="00985BDF">
            <w:pPr>
              <w:spacing w:line="259" w:lineRule="auto"/>
            </w:pPr>
            <w:proofErr w:type="spellStart"/>
            <w:r>
              <w:t>Died</w:t>
            </w:r>
            <w:proofErr w:type="spellEnd"/>
          </w:p>
        </w:tc>
      </w:tr>
      <w:tr w:rsidR="004D008F" w14:paraId="275C2071" w14:textId="77777777" w:rsidTr="004D008F">
        <w:trPr>
          <w:trHeight w:val="324"/>
        </w:trPr>
        <w:tc>
          <w:tcPr>
            <w:tcW w:w="1186" w:type="dxa"/>
            <w:tcBorders>
              <w:top w:val="single" w:sz="4" w:space="0" w:color="000000"/>
              <w:left w:val="nil"/>
              <w:bottom w:val="nil"/>
              <w:right w:val="nil"/>
            </w:tcBorders>
          </w:tcPr>
          <w:p w14:paraId="20ECCDA0" w14:textId="77777777" w:rsidR="004D008F" w:rsidRDefault="004D008F" w:rsidP="00985BDF">
            <w:pPr>
              <w:spacing w:line="259" w:lineRule="auto"/>
              <w:ind w:left="120"/>
            </w:pPr>
            <w:r>
              <w:t>Moderna</w:t>
            </w:r>
          </w:p>
        </w:tc>
        <w:tc>
          <w:tcPr>
            <w:tcW w:w="680" w:type="dxa"/>
            <w:tcBorders>
              <w:top w:val="single" w:sz="4" w:space="0" w:color="000000"/>
              <w:left w:val="nil"/>
              <w:bottom w:val="nil"/>
              <w:right w:val="nil"/>
            </w:tcBorders>
          </w:tcPr>
          <w:p w14:paraId="37993969" w14:textId="77777777" w:rsidR="004D008F" w:rsidRDefault="004D008F" w:rsidP="00985BDF">
            <w:pPr>
              <w:spacing w:line="259" w:lineRule="auto"/>
              <w:ind w:left="78"/>
            </w:pPr>
            <w:r>
              <w:t>59.6</w:t>
            </w:r>
          </w:p>
        </w:tc>
        <w:tc>
          <w:tcPr>
            <w:tcW w:w="888" w:type="dxa"/>
            <w:tcBorders>
              <w:top w:val="single" w:sz="4" w:space="0" w:color="000000"/>
              <w:left w:val="nil"/>
              <w:bottom w:val="nil"/>
              <w:right w:val="nil"/>
            </w:tcBorders>
          </w:tcPr>
          <w:p w14:paraId="0C3C4A2A" w14:textId="77777777" w:rsidR="004D008F" w:rsidRDefault="004D008F" w:rsidP="00985BDF">
            <w:pPr>
              <w:spacing w:line="259" w:lineRule="auto"/>
              <w:ind w:left="156"/>
              <w:jc w:val="center"/>
            </w:pPr>
            <w:r>
              <w:t>51.9</w:t>
            </w:r>
          </w:p>
        </w:tc>
        <w:tc>
          <w:tcPr>
            <w:tcW w:w="1402" w:type="dxa"/>
            <w:tcBorders>
              <w:top w:val="single" w:sz="4" w:space="0" w:color="000000"/>
              <w:left w:val="nil"/>
              <w:bottom w:val="nil"/>
              <w:right w:val="nil"/>
            </w:tcBorders>
          </w:tcPr>
          <w:p w14:paraId="7FF5D8A3" w14:textId="77777777" w:rsidR="004D008F" w:rsidRDefault="004D008F" w:rsidP="00985BDF">
            <w:pPr>
              <w:spacing w:line="259" w:lineRule="auto"/>
              <w:ind w:left="778"/>
            </w:pPr>
            <w:r>
              <w:t>61.4</w:t>
            </w:r>
          </w:p>
        </w:tc>
        <w:tc>
          <w:tcPr>
            <w:tcW w:w="620" w:type="dxa"/>
            <w:tcBorders>
              <w:top w:val="single" w:sz="4" w:space="0" w:color="000000"/>
              <w:left w:val="nil"/>
              <w:bottom w:val="nil"/>
              <w:right w:val="nil"/>
            </w:tcBorders>
          </w:tcPr>
          <w:p w14:paraId="1584EBF0" w14:textId="77777777" w:rsidR="004D008F" w:rsidRDefault="004D008F" w:rsidP="00985BDF">
            <w:pPr>
              <w:spacing w:line="259" w:lineRule="auto"/>
              <w:ind w:left="57"/>
            </w:pPr>
            <w:r>
              <w:t>75.7</w:t>
            </w:r>
          </w:p>
        </w:tc>
      </w:tr>
      <w:tr w:rsidR="004D008F" w14:paraId="71A048CD" w14:textId="77777777" w:rsidTr="004D008F">
        <w:trPr>
          <w:trHeight w:val="271"/>
        </w:trPr>
        <w:tc>
          <w:tcPr>
            <w:tcW w:w="1186" w:type="dxa"/>
            <w:tcBorders>
              <w:top w:val="nil"/>
              <w:left w:val="nil"/>
              <w:bottom w:val="nil"/>
              <w:right w:val="nil"/>
            </w:tcBorders>
          </w:tcPr>
          <w:p w14:paraId="1455691E" w14:textId="77777777" w:rsidR="004D008F" w:rsidRDefault="004D008F" w:rsidP="00985BDF">
            <w:pPr>
              <w:spacing w:line="259" w:lineRule="auto"/>
              <w:ind w:left="120"/>
            </w:pPr>
            <w:r>
              <w:t>Pfizer</w:t>
            </w:r>
          </w:p>
        </w:tc>
        <w:tc>
          <w:tcPr>
            <w:tcW w:w="680" w:type="dxa"/>
            <w:tcBorders>
              <w:top w:val="nil"/>
              <w:left w:val="nil"/>
              <w:bottom w:val="nil"/>
              <w:right w:val="nil"/>
            </w:tcBorders>
          </w:tcPr>
          <w:p w14:paraId="2BAE641D" w14:textId="77777777" w:rsidR="004D008F" w:rsidRDefault="004D008F" w:rsidP="00985BDF">
            <w:pPr>
              <w:spacing w:line="259" w:lineRule="auto"/>
              <w:ind w:left="78"/>
            </w:pPr>
            <w:r>
              <w:t>55.1</w:t>
            </w:r>
          </w:p>
        </w:tc>
        <w:tc>
          <w:tcPr>
            <w:tcW w:w="888" w:type="dxa"/>
            <w:tcBorders>
              <w:top w:val="nil"/>
              <w:left w:val="nil"/>
              <w:bottom w:val="nil"/>
              <w:right w:val="nil"/>
            </w:tcBorders>
          </w:tcPr>
          <w:p w14:paraId="5C43798F" w14:textId="77777777" w:rsidR="004D008F" w:rsidRDefault="004D008F" w:rsidP="00985BDF">
            <w:pPr>
              <w:spacing w:line="259" w:lineRule="auto"/>
              <w:ind w:left="156"/>
              <w:jc w:val="center"/>
            </w:pPr>
            <w:r>
              <w:t>52.2</w:t>
            </w:r>
          </w:p>
        </w:tc>
        <w:tc>
          <w:tcPr>
            <w:tcW w:w="1402" w:type="dxa"/>
            <w:tcBorders>
              <w:top w:val="nil"/>
              <w:left w:val="nil"/>
              <w:bottom w:val="nil"/>
              <w:right w:val="nil"/>
            </w:tcBorders>
          </w:tcPr>
          <w:p w14:paraId="239B58AA" w14:textId="77777777" w:rsidR="004D008F" w:rsidRDefault="004D008F" w:rsidP="00985BDF">
            <w:pPr>
              <w:spacing w:line="259" w:lineRule="auto"/>
              <w:ind w:left="779"/>
            </w:pPr>
            <w:r>
              <w:t>57.4</w:t>
            </w:r>
          </w:p>
        </w:tc>
        <w:tc>
          <w:tcPr>
            <w:tcW w:w="620" w:type="dxa"/>
            <w:tcBorders>
              <w:top w:val="nil"/>
              <w:left w:val="nil"/>
              <w:bottom w:val="nil"/>
              <w:right w:val="nil"/>
            </w:tcBorders>
          </w:tcPr>
          <w:p w14:paraId="19A532F3" w14:textId="77777777" w:rsidR="004D008F" w:rsidRDefault="004D008F" w:rsidP="00985BDF">
            <w:pPr>
              <w:spacing w:line="259" w:lineRule="auto"/>
              <w:ind w:left="57"/>
            </w:pPr>
            <w:r>
              <w:t>79.1</w:t>
            </w:r>
          </w:p>
        </w:tc>
      </w:tr>
      <w:tr w:rsidR="004D008F" w14:paraId="4D2E5C41" w14:textId="77777777" w:rsidTr="004D008F">
        <w:trPr>
          <w:trHeight w:val="331"/>
        </w:trPr>
        <w:tc>
          <w:tcPr>
            <w:tcW w:w="1186" w:type="dxa"/>
            <w:tcBorders>
              <w:top w:val="nil"/>
              <w:left w:val="nil"/>
              <w:bottom w:val="single" w:sz="7" w:space="0" w:color="000000"/>
              <w:right w:val="nil"/>
            </w:tcBorders>
          </w:tcPr>
          <w:p w14:paraId="2D15C6FA" w14:textId="77777777" w:rsidR="004D008F" w:rsidRDefault="004D008F" w:rsidP="00985BDF">
            <w:pPr>
              <w:spacing w:line="259" w:lineRule="auto"/>
              <w:ind w:left="120"/>
            </w:pPr>
            <w:r>
              <w:t>Janssen</w:t>
            </w:r>
          </w:p>
        </w:tc>
        <w:tc>
          <w:tcPr>
            <w:tcW w:w="680" w:type="dxa"/>
            <w:tcBorders>
              <w:top w:val="nil"/>
              <w:left w:val="nil"/>
              <w:bottom w:val="single" w:sz="7" w:space="0" w:color="000000"/>
              <w:right w:val="nil"/>
            </w:tcBorders>
          </w:tcPr>
          <w:p w14:paraId="377F2AE1" w14:textId="77777777" w:rsidR="004D008F" w:rsidRDefault="004D008F" w:rsidP="00985BDF">
            <w:pPr>
              <w:spacing w:line="259" w:lineRule="auto"/>
              <w:ind w:left="78"/>
            </w:pPr>
            <w:r>
              <w:t>47.0</w:t>
            </w:r>
          </w:p>
        </w:tc>
        <w:tc>
          <w:tcPr>
            <w:tcW w:w="888" w:type="dxa"/>
            <w:tcBorders>
              <w:top w:val="nil"/>
              <w:left w:val="nil"/>
              <w:bottom w:val="single" w:sz="7" w:space="0" w:color="000000"/>
              <w:right w:val="nil"/>
            </w:tcBorders>
          </w:tcPr>
          <w:p w14:paraId="249CCD36" w14:textId="77777777" w:rsidR="004D008F" w:rsidRDefault="004D008F" w:rsidP="00985BDF">
            <w:pPr>
              <w:spacing w:line="259" w:lineRule="auto"/>
              <w:ind w:left="156"/>
              <w:jc w:val="center"/>
            </w:pPr>
            <w:r>
              <w:t>51.8</w:t>
            </w:r>
          </w:p>
        </w:tc>
        <w:tc>
          <w:tcPr>
            <w:tcW w:w="1402" w:type="dxa"/>
            <w:tcBorders>
              <w:top w:val="nil"/>
              <w:left w:val="nil"/>
              <w:bottom w:val="single" w:sz="7" w:space="0" w:color="000000"/>
              <w:right w:val="nil"/>
            </w:tcBorders>
          </w:tcPr>
          <w:p w14:paraId="2E79516E" w14:textId="77777777" w:rsidR="004D008F" w:rsidRDefault="004D008F" w:rsidP="00985BDF">
            <w:pPr>
              <w:spacing w:line="259" w:lineRule="auto"/>
              <w:ind w:left="778"/>
            </w:pPr>
            <w:r>
              <w:t>46.5</w:t>
            </w:r>
          </w:p>
        </w:tc>
        <w:tc>
          <w:tcPr>
            <w:tcW w:w="620" w:type="dxa"/>
            <w:tcBorders>
              <w:top w:val="nil"/>
              <w:left w:val="nil"/>
              <w:bottom w:val="single" w:sz="7" w:space="0" w:color="000000"/>
              <w:right w:val="nil"/>
            </w:tcBorders>
          </w:tcPr>
          <w:p w14:paraId="7F35C75E" w14:textId="77777777" w:rsidR="004D008F" w:rsidRDefault="004D008F" w:rsidP="00985BDF">
            <w:pPr>
              <w:spacing w:line="259" w:lineRule="auto"/>
              <w:ind w:left="57"/>
            </w:pPr>
            <w:r>
              <w:t>71.5</w:t>
            </w:r>
          </w:p>
        </w:tc>
      </w:tr>
    </w:tbl>
    <w:p w14:paraId="1B1A1012" w14:textId="3D7321C7" w:rsidR="004D008F" w:rsidRPr="00EE2B22" w:rsidRDefault="004D008F" w:rsidP="004D008F">
      <w:pPr>
        <w:spacing w:after="232"/>
        <w:ind w:left="-15" w:right="91"/>
        <w:jc w:val="center"/>
        <w:rPr>
          <w:b/>
        </w:rPr>
      </w:pPr>
      <w:r w:rsidRPr="00EE2B22">
        <w:rPr>
          <w:b/>
        </w:rPr>
        <w:t>Table 11: Covid-19 Vaccine Patient Demographics Average Age for Sulfa Drugs</w:t>
      </w:r>
    </w:p>
    <w:p w14:paraId="775DB85C" w14:textId="77777777" w:rsidR="00EE2B22" w:rsidRDefault="00EE2B22" w:rsidP="004D008F">
      <w:pPr>
        <w:ind w:left="-15" w:right="91"/>
        <w:jc w:val="both"/>
        <w:rPr>
          <w:rFonts w:ascii="Times New Roman" w:hAnsi="Times New Roman" w:cs="Times New Roman"/>
        </w:rPr>
      </w:pPr>
    </w:p>
    <w:p w14:paraId="781B6B6F" w14:textId="0D4DA91F" w:rsidR="004D008F" w:rsidRPr="004D008F" w:rsidRDefault="004D008F" w:rsidP="004D008F">
      <w:pPr>
        <w:ind w:left="-15" w:right="91"/>
        <w:jc w:val="both"/>
        <w:rPr>
          <w:rFonts w:ascii="Times New Roman" w:hAnsi="Times New Roman" w:cs="Times New Roman"/>
        </w:rPr>
      </w:pPr>
      <w:r w:rsidRPr="004D008F">
        <w:rPr>
          <w:rFonts w:ascii="Times New Roman" w:hAnsi="Times New Roman" w:cs="Times New Roman"/>
        </w:rPr>
        <w:t>From this data it would appear that females have adverse reactions at a younger age for Moderna and Pfizer vaccines. However, for life-threatening reactions such as hospitalization and death, ages track higher with the exception of Pfizer hospitalization for *</w:t>
      </w:r>
      <w:proofErr w:type="spellStart"/>
      <w:r w:rsidRPr="004D008F">
        <w:rPr>
          <w:rFonts w:ascii="Times New Roman" w:hAnsi="Times New Roman" w:cs="Times New Roman"/>
        </w:rPr>
        <w:t>cillin</w:t>
      </w:r>
      <w:proofErr w:type="spellEnd"/>
      <w:r w:rsidRPr="004D008F">
        <w:rPr>
          <w:rFonts w:ascii="Times New Roman" w:hAnsi="Times New Roman" w:cs="Times New Roman"/>
        </w:rPr>
        <w:t>, average age 55.1 years, and Janssen hospitalization for Sulfa, average age 46.5 years.</w:t>
      </w:r>
    </w:p>
    <w:p w14:paraId="4EF5728A" w14:textId="77777777" w:rsidR="004D008F" w:rsidRPr="004D008F" w:rsidRDefault="004D008F" w:rsidP="004D008F">
      <w:pPr>
        <w:ind w:left="-15" w:right="91"/>
        <w:jc w:val="both"/>
        <w:rPr>
          <w:rFonts w:ascii="Times New Roman" w:hAnsi="Times New Roman" w:cs="Times New Roman"/>
        </w:rPr>
      </w:pPr>
      <w:r w:rsidRPr="004D008F">
        <w:rPr>
          <w:rFonts w:ascii="Times New Roman" w:hAnsi="Times New Roman" w:cs="Times New Roman"/>
        </w:rPr>
        <w:t>To investigate these outliers further, we dived deeper into patient ages for life-threatening reactions to *</w:t>
      </w:r>
      <w:proofErr w:type="spellStart"/>
      <w:r w:rsidRPr="004D008F">
        <w:rPr>
          <w:rFonts w:ascii="Times New Roman" w:hAnsi="Times New Roman" w:cs="Times New Roman"/>
        </w:rPr>
        <w:t>cillin</w:t>
      </w:r>
      <w:proofErr w:type="spellEnd"/>
      <w:r w:rsidRPr="004D008F">
        <w:rPr>
          <w:rFonts w:ascii="Times New Roman" w:hAnsi="Times New Roman" w:cs="Times New Roman"/>
        </w:rPr>
        <w:t xml:space="preserve"> and Sulfa drugs in Tables </w:t>
      </w:r>
      <w:r w:rsidRPr="004D008F">
        <w:rPr>
          <w:rFonts w:ascii="Times New Roman" w:hAnsi="Times New Roman" w:cs="Times New Roman"/>
          <w:color w:val="FF0000"/>
        </w:rPr>
        <w:t xml:space="preserve">12 </w:t>
      </w:r>
      <w:r w:rsidRPr="004D008F">
        <w:rPr>
          <w:rFonts w:ascii="Times New Roman" w:hAnsi="Times New Roman" w:cs="Times New Roman"/>
        </w:rPr>
        <w:t xml:space="preserve">and </w:t>
      </w:r>
      <w:r w:rsidRPr="004D008F">
        <w:rPr>
          <w:rFonts w:ascii="Times New Roman" w:hAnsi="Times New Roman" w:cs="Times New Roman"/>
          <w:color w:val="FF0000"/>
        </w:rPr>
        <w:t xml:space="preserve">13 </w:t>
      </w:r>
      <w:r w:rsidRPr="004D008F">
        <w:rPr>
          <w:rFonts w:ascii="Times New Roman" w:hAnsi="Times New Roman" w:cs="Times New Roman"/>
        </w:rPr>
        <w:t>respectively.</w:t>
      </w:r>
    </w:p>
    <w:p w14:paraId="393803A8" w14:textId="2815378A" w:rsidR="00EE2B22" w:rsidRDefault="004D008F" w:rsidP="004D008F">
      <w:pPr>
        <w:ind w:left="-15" w:right="91"/>
        <w:jc w:val="both"/>
        <w:rPr>
          <w:rFonts w:ascii="Times New Roman" w:hAnsi="Times New Roman" w:cs="Times New Roman"/>
        </w:rPr>
      </w:pPr>
      <w:r w:rsidRPr="004D008F">
        <w:rPr>
          <w:rFonts w:ascii="Times New Roman" w:hAnsi="Times New Roman" w:cs="Times New Roman"/>
        </w:rPr>
        <w:t>From this data we find that average ages for patient death are generally higher than for patient hospitalizations, with the most notable exception for males and Sulfa drugs where the average patient age with death as an outcome, occurs at younger ages for the Moderna and Pfizer vaccines. Interestingly no male patient death or hospitalization occurred with the Janssen vaccine for Sulfa drug allergies. Further, we noted large average age di</w:t>
      </w:r>
      <w:r w:rsidRPr="004D008F">
        <w:rPr>
          <w:rFonts w:ascii="Times New Roman" w:eastAsia="Calibri" w:hAnsi="Times New Roman" w:cs="Times New Roman"/>
        </w:rPr>
        <w:t>ff</w:t>
      </w:r>
      <w:r w:rsidRPr="004D008F">
        <w:rPr>
          <w:rFonts w:ascii="Times New Roman" w:hAnsi="Times New Roman" w:cs="Times New Roman"/>
        </w:rPr>
        <w:t>erences across genders for Sulfa drug hospitalizations for Moderna and Pfizer as well as *</w:t>
      </w:r>
      <w:proofErr w:type="spellStart"/>
      <w:r w:rsidRPr="004D008F">
        <w:rPr>
          <w:rFonts w:ascii="Times New Roman" w:hAnsi="Times New Roman" w:cs="Times New Roman"/>
        </w:rPr>
        <w:t>cillin</w:t>
      </w:r>
      <w:proofErr w:type="spellEnd"/>
      <w:r w:rsidRPr="004D008F">
        <w:rPr>
          <w:rFonts w:ascii="Times New Roman" w:hAnsi="Times New Roman" w:cs="Times New Roman"/>
        </w:rPr>
        <w:t xml:space="preserve"> drug hospitalizations for </w:t>
      </w:r>
      <w:proofErr w:type="spellStart"/>
      <w:r w:rsidRPr="004D008F">
        <w:rPr>
          <w:rFonts w:ascii="Times New Roman" w:hAnsi="Times New Roman" w:cs="Times New Roman"/>
        </w:rPr>
        <w:t>Moderna</w:t>
      </w:r>
      <w:proofErr w:type="spellEnd"/>
      <w:r w:rsidRPr="004D008F">
        <w:rPr>
          <w:rFonts w:ascii="Times New Roman" w:hAnsi="Times New Roman" w:cs="Times New Roman"/>
        </w:rPr>
        <w:t>.</w:t>
      </w:r>
    </w:p>
    <w:p w14:paraId="51008179" w14:textId="77777777" w:rsidR="00EE2B22" w:rsidRDefault="00EE2B22">
      <w:pPr>
        <w:spacing w:after="160" w:line="259" w:lineRule="auto"/>
        <w:rPr>
          <w:rFonts w:ascii="Times New Roman" w:hAnsi="Times New Roman" w:cs="Times New Roman"/>
        </w:rPr>
      </w:pPr>
      <w:r>
        <w:rPr>
          <w:rFonts w:ascii="Times New Roman" w:hAnsi="Times New Roman" w:cs="Times New Roman"/>
        </w:rPr>
        <w:br w:type="page"/>
      </w:r>
    </w:p>
    <w:p w14:paraId="4ECCF664" w14:textId="77777777" w:rsidR="004D008F" w:rsidRPr="004D008F" w:rsidRDefault="004D008F" w:rsidP="004D008F">
      <w:pPr>
        <w:ind w:left="-15" w:right="91"/>
        <w:jc w:val="both"/>
        <w:rPr>
          <w:rFonts w:ascii="Times New Roman" w:hAnsi="Times New Roman" w:cs="Times New Roman"/>
        </w:rPr>
      </w:pPr>
    </w:p>
    <w:tbl>
      <w:tblPr>
        <w:tblStyle w:val="TableGrid0"/>
        <w:tblW w:w="4359" w:type="dxa"/>
        <w:tblInd w:w="1407" w:type="dxa"/>
        <w:tblCellMar>
          <w:right w:w="115" w:type="dxa"/>
        </w:tblCellMar>
        <w:tblLook w:val="04A0" w:firstRow="1" w:lastRow="0" w:firstColumn="1" w:lastColumn="0" w:noHBand="0" w:noVBand="1"/>
      </w:tblPr>
      <w:tblGrid>
        <w:gridCol w:w="1190"/>
        <w:gridCol w:w="730"/>
        <w:gridCol w:w="893"/>
        <w:gridCol w:w="686"/>
        <w:gridCol w:w="860"/>
      </w:tblGrid>
      <w:tr w:rsidR="00C96389" w14:paraId="0D5202A0" w14:textId="77777777" w:rsidTr="00C96389">
        <w:trPr>
          <w:trHeight w:val="330"/>
        </w:trPr>
        <w:tc>
          <w:tcPr>
            <w:tcW w:w="1190" w:type="dxa"/>
            <w:tcBorders>
              <w:top w:val="nil"/>
              <w:left w:val="nil"/>
              <w:bottom w:val="single" w:sz="4" w:space="0" w:color="000000"/>
              <w:right w:val="nil"/>
            </w:tcBorders>
          </w:tcPr>
          <w:p w14:paraId="5AF89F0B" w14:textId="77777777" w:rsidR="00C96389" w:rsidRDefault="00C96389" w:rsidP="00985BDF">
            <w:pPr>
              <w:spacing w:line="259" w:lineRule="auto"/>
              <w:ind w:left="120"/>
            </w:pPr>
            <w:r>
              <w:t>Vaccine</w:t>
            </w:r>
          </w:p>
        </w:tc>
        <w:tc>
          <w:tcPr>
            <w:tcW w:w="730" w:type="dxa"/>
            <w:tcBorders>
              <w:top w:val="nil"/>
              <w:left w:val="nil"/>
              <w:bottom w:val="single" w:sz="4" w:space="0" w:color="000000"/>
              <w:right w:val="nil"/>
            </w:tcBorders>
          </w:tcPr>
          <w:p w14:paraId="0EFA5798" w14:textId="77777777" w:rsidR="00C96389" w:rsidRDefault="00C96389" w:rsidP="00985BDF">
            <w:pPr>
              <w:spacing w:line="259" w:lineRule="auto"/>
            </w:pPr>
            <w:r>
              <w:t>Male</w:t>
            </w:r>
          </w:p>
        </w:tc>
        <w:tc>
          <w:tcPr>
            <w:tcW w:w="893" w:type="dxa"/>
            <w:tcBorders>
              <w:top w:val="nil"/>
              <w:left w:val="nil"/>
              <w:bottom w:val="single" w:sz="4" w:space="0" w:color="000000"/>
              <w:right w:val="nil"/>
            </w:tcBorders>
          </w:tcPr>
          <w:p w14:paraId="34FF1997" w14:textId="77777777" w:rsidR="00C96389" w:rsidRDefault="00C96389" w:rsidP="00985BDF">
            <w:pPr>
              <w:spacing w:line="259" w:lineRule="auto"/>
            </w:pPr>
            <w:proofErr w:type="spellStart"/>
            <w:r>
              <w:t>Female</w:t>
            </w:r>
            <w:proofErr w:type="spellEnd"/>
          </w:p>
        </w:tc>
        <w:tc>
          <w:tcPr>
            <w:tcW w:w="686" w:type="dxa"/>
            <w:tcBorders>
              <w:top w:val="nil"/>
              <w:left w:val="nil"/>
              <w:bottom w:val="single" w:sz="4" w:space="0" w:color="000000"/>
              <w:right w:val="nil"/>
            </w:tcBorders>
          </w:tcPr>
          <w:p w14:paraId="3985989D" w14:textId="77777777" w:rsidR="00C96389" w:rsidRDefault="00C96389" w:rsidP="00985BDF">
            <w:pPr>
              <w:spacing w:line="259" w:lineRule="auto"/>
            </w:pPr>
            <w:r>
              <w:t>Male</w:t>
            </w:r>
          </w:p>
        </w:tc>
        <w:tc>
          <w:tcPr>
            <w:tcW w:w="860" w:type="dxa"/>
            <w:tcBorders>
              <w:top w:val="nil"/>
              <w:left w:val="nil"/>
              <w:bottom w:val="single" w:sz="4" w:space="0" w:color="000000"/>
              <w:right w:val="nil"/>
            </w:tcBorders>
          </w:tcPr>
          <w:p w14:paraId="553C81F2" w14:textId="77777777" w:rsidR="00C96389" w:rsidRDefault="00C96389" w:rsidP="00985BDF">
            <w:pPr>
              <w:spacing w:line="259" w:lineRule="auto"/>
            </w:pPr>
            <w:proofErr w:type="spellStart"/>
            <w:r>
              <w:t>Female</w:t>
            </w:r>
            <w:proofErr w:type="spellEnd"/>
          </w:p>
        </w:tc>
      </w:tr>
      <w:tr w:rsidR="00C96389" w14:paraId="22592550" w14:textId="77777777" w:rsidTr="00C96389">
        <w:trPr>
          <w:trHeight w:val="324"/>
        </w:trPr>
        <w:tc>
          <w:tcPr>
            <w:tcW w:w="1190" w:type="dxa"/>
            <w:tcBorders>
              <w:top w:val="single" w:sz="4" w:space="0" w:color="000000"/>
              <w:left w:val="nil"/>
              <w:bottom w:val="nil"/>
              <w:right w:val="nil"/>
            </w:tcBorders>
          </w:tcPr>
          <w:p w14:paraId="1E3B6235" w14:textId="77777777" w:rsidR="00C96389" w:rsidRDefault="00C96389" w:rsidP="00985BDF">
            <w:pPr>
              <w:spacing w:line="259" w:lineRule="auto"/>
              <w:ind w:left="120"/>
            </w:pPr>
            <w:r>
              <w:t>Moderna</w:t>
            </w:r>
          </w:p>
        </w:tc>
        <w:tc>
          <w:tcPr>
            <w:tcW w:w="730" w:type="dxa"/>
            <w:tcBorders>
              <w:top w:val="single" w:sz="4" w:space="0" w:color="000000"/>
              <w:left w:val="nil"/>
              <w:bottom w:val="nil"/>
              <w:right w:val="nil"/>
            </w:tcBorders>
          </w:tcPr>
          <w:p w14:paraId="673359ED" w14:textId="77777777" w:rsidR="00C96389" w:rsidRDefault="00C96389" w:rsidP="00985BDF">
            <w:pPr>
              <w:spacing w:line="259" w:lineRule="auto"/>
              <w:ind w:left="78"/>
            </w:pPr>
            <w:r>
              <w:t>68.3</w:t>
            </w:r>
          </w:p>
        </w:tc>
        <w:tc>
          <w:tcPr>
            <w:tcW w:w="893" w:type="dxa"/>
            <w:tcBorders>
              <w:top w:val="single" w:sz="4" w:space="0" w:color="000000"/>
              <w:left w:val="nil"/>
              <w:bottom w:val="nil"/>
              <w:right w:val="nil"/>
            </w:tcBorders>
          </w:tcPr>
          <w:p w14:paraId="380DCEA9" w14:textId="77777777" w:rsidR="00C96389" w:rsidRDefault="00C96389" w:rsidP="00985BDF">
            <w:pPr>
              <w:spacing w:line="259" w:lineRule="auto"/>
              <w:ind w:left="156"/>
              <w:jc w:val="center"/>
            </w:pPr>
            <w:r>
              <w:t>56.9</w:t>
            </w:r>
          </w:p>
        </w:tc>
        <w:tc>
          <w:tcPr>
            <w:tcW w:w="686" w:type="dxa"/>
            <w:tcBorders>
              <w:top w:val="single" w:sz="4" w:space="0" w:color="000000"/>
              <w:left w:val="nil"/>
              <w:bottom w:val="nil"/>
              <w:right w:val="nil"/>
            </w:tcBorders>
          </w:tcPr>
          <w:p w14:paraId="04BE0303" w14:textId="77777777" w:rsidR="00C96389" w:rsidRDefault="00C96389" w:rsidP="00985BDF">
            <w:pPr>
              <w:spacing w:line="259" w:lineRule="auto"/>
              <w:ind w:left="78"/>
            </w:pPr>
            <w:r>
              <w:t>77.9</w:t>
            </w:r>
          </w:p>
        </w:tc>
        <w:tc>
          <w:tcPr>
            <w:tcW w:w="860" w:type="dxa"/>
            <w:tcBorders>
              <w:top w:val="single" w:sz="4" w:space="0" w:color="000000"/>
              <w:left w:val="nil"/>
              <w:bottom w:val="nil"/>
              <w:right w:val="nil"/>
            </w:tcBorders>
          </w:tcPr>
          <w:p w14:paraId="088646DC" w14:textId="77777777" w:rsidR="00C96389" w:rsidRDefault="00C96389" w:rsidP="00985BDF">
            <w:pPr>
              <w:spacing w:line="259" w:lineRule="auto"/>
              <w:ind w:left="275"/>
              <w:jc w:val="center"/>
            </w:pPr>
            <w:r>
              <w:t>83.1</w:t>
            </w:r>
          </w:p>
        </w:tc>
      </w:tr>
      <w:tr w:rsidR="00C96389" w14:paraId="570ABBC4" w14:textId="77777777" w:rsidTr="00C96389">
        <w:trPr>
          <w:trHeight w:val="271"/>
        </w:trPr>
        <w:tc>
          <w:tcPr>
            <w:tcW w:w="1190" w:type="dxa"/>
            <w:tcBorders>
              <w:top w:val="nil"/>
              <w:left w:val="nil"/>
              <w:bottom w:val="nil"/>
              <w:right w:val="nil"/>
            </w:tcBorders>
          </w:tcPr>
          <w:p w14:paraId="50F93B2A" w14:textId="77777777" w:rsidR="00C96389" w:rsidRDefault="00C96389" w:rsidP="00985BDF">
            <w:pPr>
              <w:spacing w:line="259" w:lineRule="auto"/>
              <w:ind w:left="120"/>
            </w:pPr>
            <w:r>
              <w:t>Pfizer</w:t>
            </w:r>
          </w:p>
        </w:tc>
        <w:tc>
          <w:tcPr>
            <w:tcW w:w="730" w:type="dxa"/>
            <w:tcBorders>
              <w:top w:val="nil"/>
              <w:left w:val="nil"/>
              <w:bottom w:val="nil"/>
              <w:right w:val="nil"/>
            </w:tcBorders>
          </w:tcPr>
          <w:p w14:paraId="045F9094" w14:textId="77777777" w:rsidR="00C96389" w:rsidRDefault="00C96389" w:rsidP="00985BDF">
            <w:pPr>
              <w:spacing w:line="259" w:lineRule="auto"/>
              <w:ind w:left="78"/>
            </w:pPr>
            <w:r>
              <w:t>53.0</w:t>
            </w:r>
          </w:p>
        </w:tc>
        <w:tc>
          <w:tcPr>
            <w:tcW w:w="893" w:type="dxa"/>
            <w:tcBorders>
              <w:top w:val="nil"/>
              <w:left w:val="nil"/>
              <w:bottom w:val="nil"/>
              <w:right w:val="nil"/>
            </w:tcBorders>
          </w:tcPr>
          <w:p w14:paraId="613A3AD5" w14:textId="77777777" w:rsidR="00C96389" w:rsidRDefault="00C96389" w:rsidP="00985BDF">
            <w:pPr>
              <w:spacing w:line="259" w:lineRule="auto"/>
              <w:ind w:left="156"/>
              <w:jc w:val="center"/>
            </w:pPr>
            <w:r>
              <w:t>55.5</w:t>
            </w:r>
          </w:p>
        </w:tc>
        <w:tc>
          <w:tcPr>
            <w:tcW w:w="686" w:type="dxa"/>
            <w:tcBorders>
              <w:top w:val="nil"/>
              <w:left w:val="nil"/>
              <w:bottom w:val="nil"/>
              <w:right w:val="nil"/>
            </w:tcBorders>
          </w:tcPr>
          <w:p w14:paraId="11EFD8A5" w14:textId="77777777" w:rsidR="00C96389" w:rsidRDefault="00C96389" w:rsidP="00985BDF">
            <w:pPr>
              <w:spacing w:line="259" w:lineRule="auto"/>
              <w:ind w:left="78"/>
            </w:pPr>
            <w:r>
              <w:t>71.4</w:t>
            </w:r>
          </w:p>
        </w:tc>
        <w:tc>
          <w:tcPr>
            <w:tcW w:w="860" w:type="dxa"/>
            <w:tcBorders>
              <w:top w:val="nil"/>
              <w:left w:val="nil"/>
              <w:bottom w:val="nil"/>
              <w:right w:val="nil"/>
            </w:tcBorders>
          </w:tcPr>
          <w:p w14:paraId="3956EE8F" w14:textId="77777777" w:rsidR="00C96389" w:rsidRDefault="00C96389" w:rsidP="00985BDF">
            <w:pPr>
              <w:spacing w:line="259" w:lineRule="auto"/>
              <w:ind w:left="276"/>
              <w:jc w:val="center"/>
            </w:pPr>
            <w:r>
              <w:t>74.9</w:t>
            </w:r>
          </w:p>
        </w:tc>
      </w:tr>
      <w:tr w:rsidR="00C96389" w14:paraId="7CD56CCC" w14:textId="77777777" w:rsidTr="00C96389">
        <w:trPr>
          <w:trHeight w:val="331"/>
        </w:trPr>
        <w:tc>
          <w:tcPr>
            <w:tcW w:w="1190" w:type="dxa"/>
            <w:tcBorders>
              <w:top w:val="nil"/>
              <w:left w:val="nil"/>
              <w:bottom w:val="single" w:sz="7" w:space="0" w:color="000000"/>
              <w:right w:val="nil"/>
            </w:tcBorders>
          </w:tcPr>
          <w:p w14:paraId="51D2238C" w14:textId="77777777" w:rsidR="00C96389" w:rsidRDefault="00C96389" w:rsidP="00985BDF">
            <w:pPr>
              <w:spacing w:line="259" w:lineRule="auto"/>
              <w:ind w:left="120"/>
            </w:pPr>
            <w:r>
              <w:t>Janssen</w:t>
            </w:r>
          </w:p>
        </w:tc>
        <w:tc>
          <w:tcPr>
            <w:tcW w:w="730" w:type="dxa"/>
            <w:tcBorders>
              <w:top w:val="nil"/>
              <w:left w:val="nil"/>
              <w:bottom w:val="single" w:sz="7" w:space="0" w:color="000000"/>
              <w:right w:val="nil"/>
            </w:tcBorders>
          </w:tcPr>
          <w:p w14:paraId="05AA876E" w14:textId="77777777" w:rsidR="00C96389" w:rsidRDefault="00C96389" w:rsidP="00985BDF">
            <w:pPr>
              <w:spacing w:line="259" w:lineRule="auto"/>
              <w:ind w:left="139"/>
            </w:pPr>
            <w:r>
              <w:t>NA</w:t>
            </w:r>
          </w:p>
        </w:tc>
        <w:tc>
          <w:tcPr>
            <w:tcW w:w="893" w:type="dxa"/>
            <w:tcBorders>
              <w:top w:val="nil"/>
              <w:left w:val="nil"/>
              <w:bottom w:val="single" w:sz="7" w:space="0" w:color="000000"/>
              <w:right w:val="nil"/>
            </w:tcBorders>
          </w:tcPr>
          <w:p w14:paraId="7A1A4B11" w14:textId="77777777" w:rsidR="00C96389" w:rsidRDefault="00C96389" w:rsidP="00985BDF">
            <w:pPr>
              <w:spacing w:line="259" w:lineRule="auto"/>
              <w:ind w:left="156"/>
              <w:jc w:val="center"/>
            </w:pPr>
            <w:r>
              <w:t>72.5</w:t>
            </w:r>
          </w:p>
        </w:tc>
        <w:tc>
          <w:tcPr>
            <w:tcW w:w="686" w:type="dxa"/>
            <w:tcBorders>
              <w:top w:val="nil"/>
              <w:left w:val="nil"/>
              <w:bottom w:val="single" w:sz="7" w:space="0" w:color="000000"/>
              <w:right w:val="nil"/>
            </w:tcBorders>
          </w:tcPr>
          <w:p w14:paraId="5DBECFA6" w14:textId="77777777" w:rsidR="00C96389" w:rsidRDefault="00C96389" w:rsidP="00985BDF">
            <w:pPr>
              <w:spacing w:line="259" w:lineRule="auto"/>
              <w:ind w:left="78"/>
            </w:pPr>
            <w:r>
              <w:t>68.4</w:t>
            </w:r>
          </w:p>
        </w:tc>
        <w:tc>
          <w:tcPr>
            <w:tcW w:w="860" w:type="dxa"/>
            <w:tcBorders>
              <w:top w:val="nil"/>
              <w:left w:val="nil"/>
              <w:bottom w:val="single" w:sz="7" w:space="0" w:color="000000"/>
              <w:right w:val="nil"/>
            </w:tcBorders>
          </w:tcPr>
          <w:p w14:paraId="7C30F289" w14:textId="77777777" w:rsidR="00C96389" w:rsidRDefault="00C96389" w:rsidP="00985BDF">
            <w:pPr>
              <w:spacing w:line="259" w:lineRule="auto"/>
              <w:ind w:left="276"/>
              <w:jc w:val="center"/>
            </w:pPr>
            <w:r>
              <w:t>85.5</w:t>
            </w:r>
          </w:p>
        </w:tc>
      </w:tr>
    </w:tbl>
    <w:p w14:paraId="69D2E719" w14:textId="32CE28E8" w:rsidR="00C96389" w:rsidRDefault="00C96389" w:rsidP="00D075FB">
      <w:pPr>
        <w:spacing w:after="346" w:line="259" w:lineRule="auto"/>
        <w:ind w:left="10" w:hanging="10"/>
        <w:jc w:val="both"/>
        <w:rPr>
          <w:rFonts w:ascii="Times New Roman" w:hAnsi="Times New Roman" w:cs="Times New Roman"/>
        </w:rPr>
      </w:pPr>
    </w:p>
    <w:p w14:paraId="7C5F831F" w14:textId="77777777" w:rsidR="00C96389" w:rsidRPr="00EE2B22" w:rsidRDefault="00C96389" w:rsidP="00C96389">
      <w:pPr>
        <w:spacing w:after="272"/>
        <w:ind w:left="-15" w:right="91"/>
        <w:jc w:val="center"/>
        <w:rPr>
          <w:b/>
        </w:rPr>
      </w:pPr>
      <w:r w:rsidRPr="00EE2B22">
        <w:rPr>
          <w:b/>
        </w:rPr>
        <w:t>Table 12: Covid-19 Vaccine Patient Ages for Life-Threatening Reactions with *</w:t>
      </w:r>
      <w:proofErr w:type="spellStart"/>
      <w:r w:rsidRPr="00EE2B22">
        <w:rPr>
          <w:b/>
        </w:rPr>
        <w:t>cillin</w:t>
      </w:r>
      <w:proofErr w:type="spellEnd"/>
      <w:r w:rsidRPr="00EE2B22">
        <w:rPr>
          <w:b/>
        </w:rPr>
        <w:t xml:space="preserve"> Drugs</w:t>
      </w:r>
    </w:p>
    <w:tbl>
      <w:tblPr>
        <w:tblStyle w:val="TableGrid0"/>
        <w:tblW w:w="4359" w:type="dxa"/>
        <w:tblInd w:w="1407" w:type="dxa"/>
        <w:tblCellMar>
          <w:right w:w="115" w:type="dxa"/>
        </w:tblCellMar>
        <w:tblLook w:val="04A0" w:firstRow="1" w:lastRow="0" w:firstColumn="1" w:lastColumn="0" w:noHBand="0" w:noVBand="1"/>
      </w:tblPr>
      <w:tblGrid>
        <w:gridCol w:w="1190"/>
        <w:gridCol w:w="730"/>
        <w:gridCol w:w="893"/>
        <w:gridCol w:w="686"/>
        <w:gridCol w:w="860"/>
      </w:tblGrid>
      <w:tr w:rsidR="00C96389" w14:paraId="7851CDE9" w14:textId="77777777" w:rsidTr="00C96389">
        <w:trPr>
          <w:trHeight w:val="330"/>
        </w:trPr>
        <w:tc>
          <w:tcPr>
            <w:tcW w:w="1190" w:type="dxa"/>
            <w:tcBorders>
              <w:top w:val="nil"/>
              <w:left w:val="nil"/>
              <w:bottom w:val="single" w:sz="4" w:space="0" w:color="000000"/>
              <w:right w:val="nil"/>
            </w:tcBorders>
          </w:tcPr>
          <w:p w14:paraId="55264EA2" w14:textId="77777777" w:rsidR="00C96389" w:rsidRDefault="00C96389" w:rsidP="00985BDF">
            <w:pPr>
              <w:spacing w:line="259" w:lineRule="auto"/>
              <w:ind w:left="120"/>
            </w:pPr>
            <w:r>
              <w:t>Vaccine</w:t>
            </w:r>
          </w:p>
        </w:tc>
        <w:tc>
          <w:tcPr>
            <w:tcW w:w="730" w:type="dxa"/>
            <w:tcBorders>
              <w:top w:val="nil"/>
              <w:left w:val="nil"/>
              <w:bottom w:val="single" w:sz="4" w:space="0" w:color="000000"/>
              <w:right w:val="nil"/>
            </w:tcBorders>
          </w:tcPr>
          <w:p w14:paraId="39A37A4A" w14:textId="77777777" w:rsidR="00C96389" w:rsidRDefault="00C96389" w:rsidP="00985BDF">
            <w:pPr>
              <w:spacing w:line="259" w:lineRule="auto"/>
            </w:pPr>
            <w:r>
              <w:t>Male</w:t>
            </w:r>
          </w:p>
        </w:tc>
        <w:tc>
          <w:tcPr>
            <w:tcW w:w="893" w:type="dxa"/>
            <w:tcBorders>
              <w:top w:val="nil"/>
              <w:left w:val="nil"/>
              <w:bottom w:val="single" w:sz="4" w:space="0" w:color="000000"/>
              <w:right w:val="nil"/>
            </w:tcBorders>
          </w:tcPr>
          <w:p w14:paraId="4F972FC4" w14:textId="77777777" w:rsidR="00C96389" w:rsidRDefault="00C96389" w:rsidP="00985BDF">
            <w:pPr>
              <w:spacing w:line="259" w:lineRule="auto"/>
            </w:pPr>
            <w:proofErr w:type="spellStart"/>
            <w:r>
              <w:t>Female</w:t>
            </w:r>
            <w:proofErr w:type="spellEnd"/>
          </w:p>
        </w:tc>
        <w:tc>
          <w:tcPr>
            <w:tcW w:w="686" w:type="dxa"/>
            <w:tcBorders>
              <w:top w:val="nil"/>
              <w:left w:val="nil"/>
              <w:bottom w:val="single" w:sz="4" w:space="0" w:color="000000"/>
              <w:right w:val="nil"/>
            </w:tcBorders>
          </w:tcPr>
          <w:p w14:paraId="76104598" w14:textId="77777777" w:rsidR="00C96389" w:rsidRDefault="00C96389" w:rsidP="00985BDF">
            <w:pPr>
              <w:spacing w:line="259" w:lineRule="auto"/>
            </w:pPr>
            <w:r>
              <w:t>Male</w:t>
            </w:r>
          </w:p>
        </w:tc>
        <w:tc>
          <w:tcPr>
            <w:tcW w:w="860" w:type="dxa"/>
            <w:tcBorders>
              <w:top w:val="nil"/>
              <w:left w:val="nil"/>
              <w:bottom w:val="single" w:sz="4" w:space="0" w:color="000000"/>
              <w:right w:val="nil"/>
            </w:tcBorders>
          </w:tcPr>
          <w:p w14:paraId="694ADECA" w14:textId="77777777" w:rsidR="00C96389" w:rsidRDefault="00C96389" w:rsidP="00985BDF">
            <w:pPr>
              <w:spacing w:line="259" w:lineRule="auto"/>
            </w:pPr>
            <w:proofErr w:type="spellStart"/>
            <w:r>
              <w:t>Female</w:t>
            </w:r>
            <w:proofErr w:type="spellEnd"/>
          </w:p>
        </w:tc>
      </w:tr>
      <w:tr w:rsidR="00C96389" w14:paraId="149FABAC" w14:textId="77777777" w:rsidTr="00C96389">
        <w:trPr>
          <w:trHeight w:val="324"/>
        </w:trPr>
        <w:tc>
          <w:tcPr>
            <w:tcW w:w="1190" w:type="dxa"/>
            <w:tcBorders>
              <w:top w:val="single" w:sz="4" w:space="0" w:color="000000"/>
              <w:left w:val="nil"/>
              <w:bottom w:val="nil"/>
              <w:right w:val="nil"/>
            </w:tcBorders>
          </w:tcPr>
          <w:p w14:paraId="75555E60" w14:textId="77777777" w:rsidR="00C96389" w:rsidRDefault="00C96389" w:rsidP="00985BDF">
            <w:pPr>
              <w:spacing w:line="259" w:lineRule="auto"/>
              <w:ind w:left="120"/>
            </w:pPr>
            <w:r>
              <w:t>Moderna</w:t>
            </w:r>
          </w:p>
        </w:tc>
        <w:tc>
          <w:tcPr>
            <w:tcW w:w="730" w:type="dxa"/>
            <w:tcBorders>
              <w:top w:val="single" w:sz="4" w:space="0" w:color="000000"/>
              <w:left w:val="nil"/>
              <w:bottom w:val="nil"/>
              <w:right w:val="nil"/>
            </w:tcBorders>
          </w:tcPr>
          <w:p w14:paraId="67127718" w14:textId="77777777" w:rsidR="00C96389" w:rsidRDefault="00C96389" w:rsidP="00985BDF">
            <w:pPr>
              <w:spacing w:line="259" w:lineRule="auto"/>
              <w:ind w:left="78"/>
            </w:pPr>
            <w:r>
              <w:t>81.4</w:t>
            </w:r>
          </w:p>
        </w:tc>
        <w:tc>
          <w:tcPr>
            <w:tcW w:w="893" w:type="dxa"/>
            <w:tcBorders>
              <w:top w:val="single" w:sz="4" w:space="0" w:color="000000"/>
              <w:left w:val="nil"/>
              <w:bottom w:val="nil"/>
              <w:right w:val="nil"/>
            </w:tcBorders>
          </w:tcPr>
          <w:p w14:paraId="4A6FB50D" w14:textId="77777777" w:rsidR="00C96389" w:rsidRDefault="00C96389" w:rsidP="00985BDF">
            <w:pPr>
              <w:spacing w:line="259" w:lineRule="auto"/>
              <w:ind w:left="156"/>
              <w:jc w:val="center"/>
            </w:pPr>
            <w:r>
              <w:t>58.3</w:t>
            </w:r>
          </w:p>
        </w:tc>
        <w:tc>
          <w:tcPr>
            <w:tcW w:w="686" w:type="dxa"/>
            <w:tcBorders>
              <w:top w:val="single" w:sz="4" w:space="0" w:color="000000"/>
              <w:left w:val="nil"/>
              <w:bottom w:val="nil"/>
              <w:right w:val="nil"/>
            </w:tcBorders>
          </w:tcPr>
          <w:p w14:paraId="3A818BB0" w14:textId="77777777" w:rsidR="00C96389" w:rsidRDefault="00C96389" w:rsidP="00985BDF">
            <w:pPr>
              <w:spacing w:line="259" w:lineRule="auto"/>
              <w:ind w:left="78"/>
            </w:pPr>
            <w:r>
              <w:t>68.9</w:t>
            </w:r>
          </w:p>
        </w:tc>
        <w:tc>
          <w:tcPr>
            <w:tcW w:w="860" w:type="dxa"/>
            <w:tcBorders>
              <w:top w:val="single" w:sz="4" w:space="0" w:color="000000"/>
              <w:left w:val="nil"/>
              <w:bottom w:val="nil"/>
              <w:right w:val="nil"/>
            </w:tcBorders>
          </w:tcPr>
          <w:p w14:paraId="16D8C238" w14:textId="77777777" w:rsidR="00C96389" w:rsidRDefault="00C96389" w:rsidP="00985BDF">
            <w:pPr>
              <w:spacing w:line="259" w:lineRule="auto"/>
              <w:ind w:left="275"/>
              <w:jc w:val="center"/>
            </w:pPr>
            <w:r>
              <w:t>77.6</w:t>
            </w:r>
          </w:p>
        </w:tc>
      </w:tr>
      <w:tr w:rsidR="00C96389" w14:paraId="4EF3DB1E" w14:textId="77777777" w:rsidTr="00C96389">
        <w:trPr>
          <w:trHeight w:val="271"/>
        </w:trPr>
        <w:tc>
          <w:tcPr>
            <w:tcW w:w="1190" w:type="dxa"/>
            <w:tcBorders>
              <w:top w:val="nil"/>
              <w:left w:val="nil"/>
              <w:bottom w:val="nil"/>
              <w:right w:val="nil"/>
            </w:tcBorders>
          </w:tcPr>
          <w:p w14:paraId="4C89AA58" w14:textId="77777777" w:rsidR="00C96389" w:rsidRDefault="00C96389" w:rsidP="00985BDF">
            <w:pPr>
              <w:spacing w:line="259" w:lineRule="auto"/>
              <w:ind w:left="120"/>
            </w:pPr>
            <w:r>
              <w:t>Pfizer</w:t>
            </w:r>
          </w:p>
        </w:tc>
        <w:tc>
          <w:tcPr>
            <w:tcW w:w="730" w:type="dxa"/>
            <w:tcBorders>
              <w:top w:val="nil"/>
              <w:left w:val="nil"/>
              <w:bottom w:val="nil"/>
              <w:right w:val="nil"/>
            </w:tcBorders>
          </w:tcPr>
          <w:p w14:paraId="5858C909" w14:textId="77777777" w:rsidR="00C96389" w:rsidRDefault="00C96389" w:rsidP="00985BDF">
            <w:pPr>
              <w:spacing w:line="259" w:lineRule="auto"/>
              <w:ind w:left="78"/>
            </w:pPr>
            <w:r>
              <w:t>77.0</w:t>
            </w:r>
          </w:p>
        </w:tc>
        <w:tc>
          <w:tcPr>
            <w:tcW w:w="893" w:type="dxa"/>
            <w:tcBorders>
              <w:top w:val="nil"/>
              <w:left w:val="nil"/>
              <w:bottom w:val="nil"/>
              <w:right w:val="nil"/>
            </w:tcBorders>
          </w:tcPr>
          <w:p w14:paraId="61253AA8" w14:textId="77777777" w:rsidR="00C96389" w:rsidRDefault="00C96389" w:rsidP="00985BDF">
            <w:pPr>
              <w:spacing w:line="259" w:lineRule="auto"/>
              <w:ind w:left="156"/>
              <w:jc w:val="center"/>
            </w:pPr>
            <w:r>
              <w:t>56.7</w:t>
            </w:r>
          </w:p>
        </w:tc>
        <w:tc>
          <w:tcPr>
            <w:tcW w:w="686" w:type="dxa"/>
            <w:tcBorders>
              <w:top w:val="nil"/>
              <w:left w:val="nil"/>
              <w:bottom w:val="nil"/>
              <w:right w:val="nil"/>
            </w:tcBorders>
          </w:tcPr>
          <w:p w14:paraId="6C481772" w14:textId="77777777" w:rsidR="00C96389" w:rsidRDefault="00C96389" w:rsidP="00985BDF">
            <w:pPr>
              <w:spacing w:line="259" w:lineRule="auto"/>
              <w:ind w:left="78"/>
            </w:pPr>
            <w:r>
              <w:t>76.2</w:t>
            </w:r>
          </w:p>
        </w:tc>
        <w:tc>
          <w:tcPr>
            <w:tcW w:w="860" w:type="dxa"/>
            <w:tcBorders>
              <w:top w:val="nil"/>
              <w:left w:val="nil"/>
              <w:bottom w:val="nil"/>
              <w:right w:val="nil"/>
            </w:tcBorders>
          </w:tcPr>
          <w:p w14:paraId="24B85725" w14:textId="77777777" w:rsidR="00C96389" w:rsidRDefault="00C96389" w:rsidP="00985BDF">
            <w:pPr>
              <w:spacing w:line="259" w:lineRule="auto"/>
              <w:ind w:left="276"/>
              <w:jc w:val="center"/>
            </w:pPr>
            <w:r>
              <w:t>80.4</w:t>
            </w:r>
          </w:p>
        </w:tc>
      </w:tr>
      <w:tr w:rsidR="00C96389" w14:paraId="20A7FCC3" w14:textId="77777777" w:rsidTr="00C96389">
        <w:trPr>
          <w:trHeight w:val="331"/>
        </w:trPr>
        <w:tc>
          <w:tcPr>
            <w:tcW w:w="1190" w:type="dxa"/>
            <w:tcBorders>
              <w:top w:val="nil"/>
              <w:left w:val="nil"/>
              <w:bottom w:val="single" w:sz="7" w:space="0" w:color="000000"/>
              <w:right w:val="nil"/>
            </w:tcBorders>
          </w:tcPr>
          <w:p w14:paraId="7C29DBF8" w14:textId="77777777" w:rsidR="00C96389" w:rsidRDefault="00C96389" w:rsidP="00985BDF">
            <w:pPr>
              <w:spacing w:line="259" w:lineRule="auto"/>
              <w:ind w:left="120"/>
            </w:pPr>
            <w:r>
              <w:t>Janssen</w:t>
            </w:r>
          </w:p>
        </w:tc>
        <w:tc>
          <w:tcPr>
            <w:tcW w:w="730" w:type="dxa"/>
            <w:tcBorders>
              <w:top w:val="nil"/>
              <w:left w:val="nil"/>
              <w:bottom w:val="single" w:sz="7" w:space="0" w:color="000000"/>
              <w:right w:val="nil"/>
            </w:tcBorders>
          </w:tcPr>
          <w:p w14:paraId="6CE8C3A2" w14:textId="77777777" w:rsidR="00C96389" w:rsidRDefault="00C96389" w:rsidP="00985BDF">
            <w:pPr>
              <w:spacing w:line="259" w:lineRule="auto"/>
              <w:ind w:left="139"/>
            </w:pPr>
            <w:r>
              <w:t>NA</w:t>
            </w:r>
          </w:p>
        </w:tc>
        <w:tc>
          <w:tcPr>
            <w:tcW w:w="893" w:type="dxa"/>
            <w:tcBorders>
              <w:top w:val="nil"/>
              <w:left w:val="nil"/>
              <w:bottom w:val="single" w:sz="7" w:space="0" w:color="000000"/>
              <w:right w:val="nil"/>
            </w:tcBorders>
          </w:tcPr>
          <w:p w14:paraId="38A61883" w14:textId="77777777" w:rsidR="00C96389" w:rsidRDefault="00C96389" w:rsidP="00985BDF">
            <w:pPr>
              <w:spacing w:line="259" w:lineRule="auto"/>
              <w:ind w:left="156"/>
              <w:jc w:val="center"/>
            </w:pPr>
            <w:r>
              <w:t>46.5</w:t>
            </w:r>
          </w:p>
        </w:tc>
        <w:tc>
          <w:tcPr>
            <w:tcW w:w="686" w:type="dxa"/>
            <w:tcBorders>
              <w:top w:val="nil"/>
              <w:left w:val="nil"/>
              <w:bottom w:val="single" w:sz="7" w:space="0" w:color="000000"/>
              <w:right w:val="nil"/>
            </w:tcBorders>
          </w:tcPr>
          <w:p w14:paraId="57071A67" w14:textId="77777777" w:rsidR="00C96389" w:rsidRDefault="00C96389" w:rsidP="00985BDF">
            <w:pPr>
              <w:spacing w:line="259" w:lineRule="auto"/>
              <w:ind w:left="139"/>
            </w:pPr>
            <w:r>
              <w:t>NA</w:t>
            </w:r>
          </w:p>
        </w:tc>
        <w:tc>
          <w:tcPr>
            <w:tcW w:w="860" w:type="dxa"/>
            <w:tcBorders>
              <w:top w:val="nil"/>
              <w:left w:val="nil"/>
              <w:bottom w:val="single" w:sz="7" w:space="0" w:color="000000"/>
              <w:right w:val="nil"/>
            </w:tcBorders>
          </w:tcPr>
          <w:p w14:paraId="468CBFD4" w14:textId="77777777" w:rsidR="00C96389" w:rsidRDefault="00C96389" w:rsidP="00985BDF">
            <w:pPr>
              <w:spacing w:line="259" w:lineRule="auto"/>
              <w:ind w:left="276"/>
              <w:jc w:val="center"/>
            </w:pPr>
            <w:r>
              <w:t>71.5</w:t>
            </w:r>
          </w:p>
        </w:tc>
      </w:tr>
    </w:tbl>
    <w:p w14:paraId="7CBA9946" w14:textId="77777777" w:rsidR="00C96389" w:rsidRPr="00EE2B22" w:rsidRDefault="00C96389" w:rsidP="00C96389">
      <w:pPr>
        <w:spacing w:after="382"/>
        <w:ind w:left="-15" w:right="91"/>
        <w:jc w:val="center"/>
        <w:rPr>
          <w:b/>
        </w:rPr>
      </w:pPr>
      <w:r w:rsidRPr="00EE2B22">
        <w:rPr>
          <w:b/>
        </w:rPr>
        <w:t>Table 13: Covid-19 Vaccine Patient Ages for Life-Threatening Reactions with Sulfa Drugs</w:t>
      </w:r>
    </w:p>
    <w:p w14:paraId="1C49E1BF" w14:textId="77777777" w:rsidR="00EE2B22" w:rsidRDefault="00EE2B22" w:rsidP="000A3730">
      <w:pPr>
        <w:pStyle w:val="Heading1"/>
        <w:ind w:left="458" w:hanging="473"/>
        <w:jc w:val="center"/>
        <w:rPr>
          <w:rFonts w:ascii="Times New Roman" w:hAnsi="Times New Roman" w:cs="Times New Roman"/>
          <w:b/>
          <w:bCs/>
          <w:color w:val="auto"/>
          <w:sz w:val="28"/>
          <w:szCs w:val="28"/>
        </w:rPr>
      </w:pPr>
    </w:p>
    <w:p w14:paraId="5030C595" w14:textId="61768E9C" w:rsidR="000A3730" w:rsidRPr="000A3730" w:rsidRDefault="000A3730" w:rsidP="000A3730">
      <w:pPr>
        <w:pStyle w:val="Heading1"/>
        <w:ind w:left="458" w:hanging="473"/>
        <w:jc w:val="center"/>
        <w:rPr>
          <w:rFonts w:ascii="Times New Roman" w:hAnsi="Times New Roman" w:cs="Times New Roman"/>
          <w:b/>
          <w:bCs/>
          <w:sz w:val="28"/>
          <w:szCs w:val="28"/>
        </w:rPr>
      </w:pPr>
      <w:r w:rsidRPr="000A3730">
        <w:rPr>
          <w:rFonts w:ascii="Times New Roman" w:hAnsi="Times New Roman" w:cs="Times New Roman"/>
          <w:b/>
          <w:bCs/>
          <w:color w:val="auto"/>
          <w:sz w:val="28"/>
          <w:szCs w:val="28"/>
        </w:rPr>
        <w:t>CONCLUSIONS, LIMITATIONS AND FUTURE DIRECTIONS</w:t>
      </w:r>
    </w:p>
    <w:p w14:paraId="62B3A8F2" w14:textId="4107B5D8" w:rsidR="00022627" w:rsidRPr="00022627" w:rsidRDefault="00022627" w:rsidP="00022627">
      <w:pPr>
        <w:ind w:left="-15" w:right="91"/>
        <w:jc w:val="both"/>
        <w:rPr>
          <w:rFonts w:ascii="Times New Roman" w:hAnsi="Times New Roman" w:cs="Times New Roman"/>
        </w:rPr>
      </w:pPr>
      <w:r>
        <w:br/>
      </w:r>
      <w:r w:rsidRPr="00022627">
        <w:rPr>
          <w:rFonts w:ascii="Times New Roman" w:hAnsi="Times New Roman" w:cs="Times New Roman"/>
        </w:rPr>
        <w:t>Using this data from a patient safety perspective, it would appear that Janssen has the lowest proportion of life-threatening adverse reactions. In terms of specific allergies, patients with *</w:t>
      </w:r>
      <w:proofErr w:type="spellStart"/>
      <w:r w:rsidRPr="00022627">
        <w:rPr>
          <w:rFonts w:ascii="Times New Roman" w:hAnsi="Times New Roman" w:cs="Times New Roman"/>
        </w:rPr>
        <w:t>cillin</w:t>
      </w:r>
      <w:proofErr w:type="spellEnd"/>
      <w:r w:rsidRPr="00022627">
        <w:rPr>
          <w:rFonts w:ascii="Times New Roman" w:hAnsi="Times New Roman" w:cs="Times New Roman"/>
        </w:rPr>
        <w:t xml:space="preserve"> or sulfa allergies had the most adverse reactions to covid-19 vaccines, however, Janssen again had the lowest number of reported deaths. In terms of patient age and gender, females has 2.9x the number of adverse reactions than males and a lower average age for reactions for the Pfizer and Moderna vaccines.</w:t>
      </w:r>
    </w:p>
    <w:p w14:paraId="21653018" w14:textId="77777777" w:rsidR="00022627" w:rsidRPr="00022627" w:rsidRDefault="00022627" w:rsidP="00022627">
      <w:pPr>
        <w:ind w:left="-15" w:right="91"/>
        <w:jc w:val="both"/>
        <w:rPr>
          <w:rFonts w:ascii="Times New Roman" w:hAnsi="Times New Roman" w:cs="Times New Roman"/>
        </w:rPr>
      </w:pPr>
      <w:r w:rsidRPr="00022627">
        <w:rPr>
          <w:rFonts w:ascii="Times New Roman" w:hAnsi="Times New Roman" w:cs="Times New Roman"/>
        </w:rPr>
        <w:t>While this study relied on reported adverse events and not the universe of data (i.e. patients receiving a vaccine without complication or all patients with an adverse reaction reporting it), the reported data has certainly led to some interesting conclusions.</w:t>
      </w:r>
    </w:p>
    <w:p w14:paraId="41F2DCF0" w14:textId="77777777" w:rsidR="00022627" w:rsidRPr="00022627" w:rsidRDefault="00022627" w:rsidP="00022627">
      <w:pPr>
        <w:ind w:left="-15" w:right="91"/>
        <w:jc w:val="both"/>
        <w:rPr>
          <w:rFonts w:ascii="Times New Roman" w:hAnsi="Times New Roman" w:cs="Times New Roman"/>
        </w:rPr>
      </w:pPr>
      <w:r w:rsidRPr="00022627">
        <w:rPr>
          <w:rFonts w:ascii="Times New Roman" w:hAnsi="Times New Roman" w:cs="Times New Roman"/>
        </w:rPr>
        <w:t>We feel this data could be used by individuals and medical professionals to assist in choosing a vaccine to maximize patient safety based on their allergy history, age and gender.</w:t>
      </w:r>
    </w:p>
    <w:p w14:paraId="7B253AB0" w14:textId="4733F190" w:rsidR="003B1E0A" w:rsidRDefault="00022627" w:rsidP="00EE2B22">
      <w:pPr>
        <w:spacing w:after="681"/>
        <w:ind w:left="-15" w:right="91"/>
        <w:jc w:val="both"/>
        <w:rPr>
          <w:rFonts w:ascii="Times New Roman" w:hAnsi="Times New Roman" w:cs="Times New Roman"/>
        </w:rPr>
      </w:pPr>
      <w:r w:rsidRPr="00022627">
        <w:rPr>
          <w:rFonts w:ascii="Times New Roman" w:hAnsi="Times New Roman" w:cs="Times New Roman"/>
        </w:rPr>
        <w:t>This article presents an initial work that seeks to shed light on the appearance of adverse reactions caused by di</w:t>
      </w:r>
      <w:r w:rsidRPr="00022627">
        <w:rPr>
          <w:rFonts w:ascii="Times New Roman" w:eastAsia="Calibri" w:hAnsi="Times New Roman" w:cs="Times New Roman"/>
        </w:rPr>
        <w:t>ff</w:t>
      </w:r>
      <w:r w:rsidRPr="00022627">
        <w:rPr>
          <w:rFonts w:ascii="Times New Roman" w:hAnsi="Times New Roman" w:cs="Times New Roman"/>
        </w:rPr>
        <w:t xml:space="preserve">erent covid-19 vaccines, analyzing co-occurrences between allergens and adverse reactions caused by these vaccines. For the next step, it would be interesting to apply advanced data mining techniques to predict </w:t>
      </w:r>
      <w:r w:rsidRPr="00022627">
        <w:rPr>
          <w:rFonts w:ascii="Times New Roman" w:hAnsi="Times New Roman" w:cs="Times New Roman"/>
        </w:rPr>
        <w:lastRenderedPageBreak/>
        <w:t>the level of seriousness of a potential allergic reaction in a new patient to be vaccinated with a specific vaccine, thus helping to assess the suitability of a certain vaccine type for each patient in terms of minimizing the probability of the appearance of a severe allergic reaction.</w:t>
      </w:r>
    </w:p>
    <w:p w14:paraId="6A021CAD" w14:textId="41245849" w:rsidR="00A70FD1" w:rsidRDefault="00A70FD1" w:rsidP="00A70FD1">
      <w:pPr>
        <w:pStyle w:val="Heading1"/>
        <w:ind w:left="-5"/>
        <w:jc w:val="center"/>
        <w:rPr>
          <w:rFonts w:ascii="Times New Roman" w:hAnsi="Times New Roman" w:cs="Times New Roman"/>
          <w:b/>
          <w:bCs/>
          <w:color w:val="auto"/>
        </w:rPr>
      </w:pPr>
      <w:r w:rsidRPr="00A70FD1">
        <w:rPr>
          <w:rFonts w:ascii="Times New Roman" w:hAnsi="Times New Roman" w:cs="Times New Roman"/>
          <w:b/>
          <w:bCs/>
          <w:color w:val="auto"/>
        </w:rPr>
        <w:t>REFERENCES</w:t>
      </w:r>
    </w:p>
    <w:p w14:paraId="2A5BCA27" w14:textId="77777777" w:rsidR="003B1E0A" w:rsidRPr="003B1E0A" w:rsidRDefault="003B1E0A" w:rsidP="003B1E0A"/>
    <w:p w14:paraId="0D7DFAFD" w14:textId="2B237FCF" w:rsidR="00A70FD1" w:rsidRDefault="00A70FD1" w:rsidP="00EE2B22">
      <w:pPr>
        <w:spacing w:line="244" w:lineRule="auto"/>
        <w:rPr>
          <w:rFonts w:ascii="Times New Roman" w:hAnsi="Times New Roman" w:cs="Times New Roman"/>
        </w:rPr>
      </w:pPr>
      <w:r w:rsidRPr="00EE2B22">
        <w:rPr>
          <w:rFonts w:ascii="Times New Roman" w:hAnsi="Times New Roman" w:cs="Times New Roman"/>
        </w:rPr>
        <w:t xml:space="preserve">American College of Allergy, Asthma and Immunology. (2021, April 26). </w:t>
      </w:r>
      <w:proofErr w:type="spellStart"/>
      <w:r w:rsidRPr="00EE2B22">
        <w:rPr>
          <w:rFonts w:ascii="Times New Roman" w:eastAsia="Calibri" w:hAnsi="Times New Roman" w:cs="Times New Roman"/>
          <w:i/>
        </w:rPr>
        <w:t>Acaai</w:t>
      </w:r>
      <w:proofErr w:type="spellEnd"/>
      <w:r w:rsidRPr="00EE2B22">
        <w:rPr>
          <w:rFonts w:ascii="Times New Roman" w:eastAsia="Calibri" w:hAnsi="Times New Roman" w:cs="Times New Roman"/>
          <w:i/>
        </w:rPr>
        <w:t xml:space="preserve"> updates to guidance on risk of allergic reactions to covid-19 vaccines</w:t>
      </w:r>
      <w:r w:rsidRPr="00EE2B22">
        <w:rPr>
          <w:rFonts w:ascii="Times New Roman" w:hAnsi="Times New Roman" w:cs="Times New Roman"/>
        </w:rPr>
        <w:t xml:space="preserve">. Retrieved July 12, 2021, from </w:t>
      </w:r>
      <w:hyperlink r:id="rId12">
        <w:r w:rsidRPr="00EE2B22">
          <w:rPr>
            <w:rFonts w:ascii="Times New Roman" w:hAnsi="Times New Roman" w:cs="Times New Roman"/>
          </w:rPr>
          <w:t xml:space="preserve">https://acaai.org/news/ </w:t>
        </w:r>
      </w:hyperlink>
      <w:hyperlink r:id="rId13">
        <w:r w:rsidRPr="00EE2B22">
          <w:rPr>
            <w:rFonts w:ascii="Times New Roman" w:hAnsi="Times New Roman" w:cs="Times New Roman"/>
          </w:rPr>
          <w:t>acaai-updates-guidance-risk-allergic-reactions-covid-19-vaccines</w:t>
        </w:r>
      </w:hyperlink>
    </w:p>
    <w:p w14:paraId="0BEAF7DA" w14:textId="77777777" w:rsidR="00EE2B22" w:rsidRPr="00EE2B22" w:rsidRDefault="00EE2B22" w:rsidP="00EE2B22">
      <w:pPr>
        <w:spacing w:line="244" w:lineRule="auto"/>
        <w:rPr>
          <w:rFonts w:ascii="Times New Roman" w:hAnsi="Times New Roman" w:cs="Times New Roman"/>
          <w:color w:val="E72582"/>
        </w:rPr>
      </w:pPr>
    </w:p>
    <w:p w14:paraId="0B9FE7CD" w14:textId="53E84798" w:rsidR="003B1E0A" w:rsidRDefault="00A70FD1" w:rsidP="00EE2B22">
      <w:pPr>
        <w:spacing w:line="244" w:lineRule="auto"/>
        <w:rPr>
          <w:rFonts w:ascii="Times New Roman" w:hAnsi="Times New Roman" w:cs="Times New Roman"/>
        </w:rPr>
      </w:pPr>
      <w:r w:rsidRPr="00EE2B22">
        <w:rPr>
          <w:rFonts w:ascii="Times New Roman" w:hAnsi="Times New Roman" w:cs="Times New Roman"/>
        </w:rPr>
        <w:t xml:space="preserve">Blumenthal, K., Robinson, L., Camargo, C., Shenoy, E., Banerji, A., Landman, A., &amp; </w:t>
      </w:r>
      <w:proofErr w:type="spellStart"/>
      <w:r w:rsidRPr="00EE2B22">
        <w:rPr>
          <w:rFonts w:ascii="Times New Roman" w:hAnsi="Times New Roman" w:cs="Times New Roman"/>
        </w:rPr>
        <w:t>Wickner</w:t>
      </w:r>
      <w:proofErr w:type="spellEnd"/>
      <w:r w:rsidRPr="00EE2B22">
        <w:rPr>
          <w:rFonts w:ascii="Times New Roman" w:hAnsi="Times New Roman" w:cs="Times New Roman"/>
        </w:rPr>
        <w:t xml:space="preserve">, P. (2021). Acute allergic reactions to </w:t>
      </w:r>
      <w:proofErr w:type="spellStart"/>
      <w:r w:rsidRPr="00EE2B22">
        <w:rPr>
          <w:rFonts w:ascii="Times New Roman" w:hAnsi="Times New Roman" w:cs="Times New Roman"/>
        </w:rPr>
        <w:t>mrna</w:t>
      </w:r>
      <w:proofErr w:type="spellEnd"/>
      <w:r w:rsidRPr="00EE2B22">
        <w:rPr>
          <w:rFonts w:ascii="Times New Roman" w:hAnsi="Times New Roman" w:cs="Times New Roman"/>
        </w:rPr>
        <w:t xml:space="preserve"> covid-19 vaccines. </w:t>
      </w:r>
      <w:r w:rsidRPr="00EE2B22">
        <w:rPr>
          <w:rFonts w:ascii="Times New Roman" w:eastAsia="Calibri" w:hAnsi="Times New Roman" w:cs="Times New Roman"/>
          <w:i/>
        </w:rPr>
        <w:t>Journal of the American Medical Association</w:t>
      </w:r>
      <w:r w:rsidRPr="00EE2B22">
        <w:rPr>
          <w:rFonts w:ascii="Times New Roman" w:hAnsi="Times New Roman" w:cs="Times New Roman"/>
        </w:rPr>
        <w:t xml:space="preserve">, </w:t>
      </w:r>
      <w:r w:rsidRPr="00EE2B22">
        <w:rPr>
          <w:rFonts w:ascii="Times New Roman" w:eastAsia="Calibri" w:hAnsi="Times New Roman" w:cs="Times New Roman"/>
          <w:i/>
        </w:rPr>
        <w:t>325</w:t>
      </w:r>
      <w:r w:rsidRPr="00EE2B22">
        <w:rPr>
          <w:rFonts w:ascii="Times New Roman" w:hAnsi="Times New Roman" w:cs="Times New Roman"/>
        </w:rPr>
        <w:t>, 1562–1565.</w:t>
      </w:r>
    </w:p>
    <w:p w14:paraId="110F7A39" w14:textId="77777777" w:rsidR="00EE2B22" w:rsidRPr="00EE2B22" w:rsidRDefault="00EE2B22" w:rsidP="00EE2B22">
      <w:pPr>
        <w:spacing w:line="244" w:lineRule="auto"/>
        <w:rPr>
          <w:rFonts w:ascii="Times New Roman" w:hAnsi="Times New Roman" w:cs="Times New Roman"/>
        </w:rPr>
      </w:pPr>
    </w:p>
    <w:p w14:paraId="71B637A9" w14:textId="3C8BD7FF" w:rsidR="00A70FD1" w:rsidRPr="00EE2B22" w:rsidRDefault="00A70FD1" w:rsidP="00EE2B22">
      <w:pPr>
        <w:ind w:right="91"/>
        <w:rPr>
          <w:rFonts w:ascii="Times New Roman" w:hAnsi="Times New Roman" w:cs="Times New Roman"/>
        </w:rPr>
      </w:pPr>
      <w:r w:rsidRPr="00EE2B22">
        <w:rPr>
          <w:rFonts w:ascii="Times New Roman" w:hAnsi="Times New Roman" w:cs="Times New Roman"/>
        </w:rPr>
        <w:t xml:space="preserve">Brown, S. G., &amp; Turner, P. J. (2015). Anaphylaxis. In R. </w:t>
      </w:r>
      <w:proofErr w:type="spellStart"/>
      <w:r w:rsidRPr="00EE2B22">
        <w:rPr>
          <w:rFonts w:ascii="Times New Roman" w:hAnsi="Times New Roman" w:cs="Times New Roman"/>
        </w:rPr>
        <w:t>O’Hehir</w:t>
      </w:r>
      <w:proofErr w:type="spellEnd"/>
      <w:r w:rsidRPr="00EE2B22">
        <w:rPr>
          <w:rFonts w:ascii="Times New Roman" w:hAnsi="Times New Roman" w:cs="Times New Roman"/>
        </w:rPr>
        <w:t xml:space="preserve">, S. Holgate, &amp; A. Sheikh (Eds.), </w:t>
      </w:r>
      <w:r w:rsidRPr="00EE2B22">
        <w:rPr>
          <w:rFonts w:ascii="Times New Roman" w:eastAsia="Calibri" w:hAnsi="Times New Roman" w:cs="Times New Roman"/>
          <w:i/>
        </w:rPr>
        <w:t xml:space="preserve">Middleton’s allergy essentials first edition </w:t>
      </w:r>
      <w:r w:rsidRPr="00EE2B22">
        <w:rPr>
          <w:rFonts w:ascii="Times New Roman" w:hAnsi="Times New Roman" w:cs="Times New Roman"/>
        </w:rPr>
        <w:t>(pp. 345–360).</w:t>
      </w:r>
    </w:p>
    <w:p w14:paraId="435BC46E" w14:textId="77777777" w:rsidR="003B1E0A" w:rsidRDefault="003B1E0A" w:rsidP="00EE2B22">
      <w:pPr>
        <w:pStyle w:val="ListParagraph"/>
      </w:pPr>
    </w:p>
    <w:p w14:paraId="768245E7" w14:textId="347FD069" w:rsidR="00A70FD1" w:rsidRPr="00EE2B22" w:rsidRDefault="00A70FD1" w:rsidP="00EE2B22">
      <w:pPr>
        <w:spacing w:line="244" w:lineRule="auto"/>
        <w:rPr>
          <w:rFonts w:ascii="Times New Roman" w:hAnsi="Times New Roman" w:cs="Times New Roman"/>
          <w:color w:val="E72582"/>
        </w:rPr>
      </w:pPr>
      <w:r w:rsidRPr="00EE2B22">
        <w:rPr>
          <w:rFonts w:ascii="Times New Roman" w:hAnsi="Times New Roman" w:cs="Times New Roman"/>
        </w:rPr>
        <w:t xml:space="preserve">Centers for Disease Control and Prevention. (2021, June 20). </w:t>
      </w:r>
      <w:r w:rsidRPr="00EE2B22">
        <w:rPr>
          <w:rFonts w:ascii="Times New Roman" w:eastAsia="Calibri" w:hAnsi="Times New Roman" w:cs="Times New Roman"/>
          <w:i/>
        </w:rPr>
        <w:t>Understanding adverse events and side effects</w:t>
      </w:r>
      <w:r w:rsidRPr="00EE2B22">
        <w:rPr>
          <w:rFonts w:ascii="Times New Roman" w:hAnsi="Times New Roman" w:cs="Times New Roman"/>
        </w:rPr>
        <w:t xml:space="preserve">. Retrieved June 28, 2021, from </w:t>
      </w:r>
      <w:hyperlink r:id="rId14">
        <w:r w:rsidRPr="00EE2B22">
          <w:rPr>
            <w:rFonts w:ascii="Times New Roman" w:hAnsi="Times New Roman" w:cs="Times New Roman"/>
          </w:rPr>
          <w:t xml:space="preserve">https: </w:t>
        </w:r>
      </w:hyperlink>
      <w:hyperlink r:id="rId15">
        <w:r w:rsidRPr="00EE2B22">
          <w:rPr>
            <w:rFonts w:ascii="Times New Roman" w:hAnsi="Times New Roman" w:cs="Times New Roman"/>
          </w:rPr>
          <w:t>//www.cdc.gov/vaccinesafety/ensuringsafety/sidee</w:t>
        </w:r>
      </w:hyperlink>
      <w:hyperlink r:id="rId16">
        <w:r w:rsidRPr="00EE2B22">
          <w:rPr>
            <w:rFonts w:ascii="Times New Roman" w:eastAsia="Calibri" w:hAnsi="Times New Roman" w:cs="Times New Roman"/>
          </w:rPr>
          <w:t>ff</w:t>
        </w:r>
      </w:hyperlink>
      <w:hyperlink r:id="rId17">
        <w:r w:rsidRPr="00EE2B22">
          <w:rPr>
            <w:rFonts w:ascii="Times New Roman" w:hAnsi="Times New Roman" w:cs="Times New Roman"/>
          </w:rPr>
          <w:t>ects/index.html</w:t>
        </w:r>
      </w:hyperlink>
    </w:p>
    <w:p w14:paraId="266B2769" w14:textId="77777777" w:rsidR="003B1E0A" w:rsidRPr="009B7C3F" w:rsidRDefault="003B1E0A" w:rsidP="00EE2B22">
      <w:pPr>
        <w:spacing w:line="244" w:lineRule="auto"/>
        <w:ind w:left="-15"/>
      </w:pPr>
    </w:p>
    <w:p w14:paraId="7EC0A454" w14:textId="7A3EE944" w:rsidR="00A70FD1" w:rsidRPr="00EE2B22" w:rsidRDefault="00A70FD1" w:rsidP="00EE2B22">
      <w:pPr>
        <w:ind w:right="91"/>
        <w:rPr>
          <w:rFonts w:ascii="Times New Roman" w:hAnsi="Times New Roman" w:cs="Times New Roman"/>
        </w:rPr>
      </w:pPr>
      <w:proofErr w:type="spellStart"/>
      <w:r w:rsidRPr="00EE2B22">
        <w:rPr>
          <w:rFonts w:ascii="Times New Roman" w:hAnsi="Times New Roman" w:cs="Times New Roman"/>
        </w:rPr>
        <w:t>HealthLine</w:t>
      </w:r>
      <w:proofErr w:type="spellEnd"/>
      <w:r w:rsidRPr="00EE2B22">
        <w:rPr>
          <w:rFonts w:ascii="Times New Roman" w:hAnsi="Times New Roman" w:cs="Times New Roman"/>
        </w:rPr>
        <w:t xml:space="preserve">. (2020, December 16). </w:t>
      </w:r>
      <w:r w:rsidRPr="00EE2B22">
        <w:rPr>
          <w:rFonts w:ascii="Times New Roman" w:eastAsia="Calibri" w:hAnsi="Times New Roman" w:cs="Times New Roman"/>
          <w:i/>
        </w:rPr>
        <w:t xml:space="preserve">What are environmental allergies? </w:t>
      </w:r>
      <w:r w:rsidRPr="00EE2B22">
        <w:rPr>
          <w:rFonts w:ascii="Times New Roman" w:hAnsi="Times New Roman" w:cs="Times New Roman"/>
        </w:rPr>
        <w:t xml:space="preserve">Retrieved May 31, 2021, from </w:t>
      </w:r>
      <w:hyperlink r:id="rId18">
        <w:r w:rsidRPr="00EE2B22">
          <w:rPr>
            <w:rFonts w:ascii="Times New Roman" w:hAnsi="Times New Roman" w:cs="Times New Roman"/>
          </w:rPr>
          <w:t xml:space="preserve">https://www.healthline.com/health/ </w:t>
        </w:r>
      </w:hyperlink>
      <w:hyperlink r:id="rId19">
        <w:r w:rsidRPr="00EE2B22">
          <w:rPr>
            <w:rFonts w:ascii="Times New Roman" w:hAnsi="Times New Roman" w:cs="Times New Roman"/>
          </w:rPr>
          <w:t>allergies/environmental-allergies</w:t>
        </w:r>
      </w:hyperlink>
    </w:p>
    <w:p w14:paraId="29FD61D2" w14:textId="77777777" w:rsidR="003B1E0A" w:rsidRDefault="003B1E0A" w:rsidP="00EE2B22">
      <w:pPr>
        <w:pStyle w:val="ListParagraph"/>
      </w:pPr>
    </w:p>
    <w:p w14:paraId="3F6D1CA2" w14:textId="0E88BDDD" w:rsidR="00A70FD1" w:rsidRPr="00EE2B22" w:rsidRDefault="00A70FD1" w:rsidP="00EE2B22">
      <w:pPr>
        <w:ind w:right="91"/>
        <w:rPr>
          <w:rFonts w:ascii="Times New Roman" w:hAnsi="Times New Roman" w:cs="Times New Roman"/>
        </w:rPr>
      </w:pPr>
      <w:r w:rsidRPr="00EE2B22">
        <w:rPr>
          <w:rFonts w:ascii="Times New Roman" w:hAnsi="Times New Roman" w:cs="Times New Roman"/>
        </w:rPr>
        <w:t xml:space="preserve">Levin, M. (2018). Allergy Terminology: Toward a Common Language and Shared Understanding. </w:t>
      </w:r>
      <w:r w:rsidRPr="00EE2B22">
        <w:rPr>
          <w:rFonts w:ascii="Times New Roman" w:eastAsia="Calibri" w:hAnsi="Times New Roman" w:cs="Times New Roman"/>
          <w:i/>
        </w:rPr>
        <w:t>Journal of Allergy and Clinical Immunology</w:t>
      </w:r>
      <w:r w:rsidRPr="00EE2B22">
        <w:rPr>
          <w:rFonts w:ascii="Times New Roman" w:hAnsi="Times New Roman" w:cs="Times New Roman"/>
        </w:rPr>
        <w:t xml:space="preserve">, </w:t>
      </w:r>
      <w:r w:rsidRPr="00EE2B22">
        <w:rPr>
          <w:rFonts w:ascii="Times New Roman" w:eastAsia="Calibri" w:hAnsi="Times New Roman" w:cs="Times New Roman"/>
          <w:i/>
        </w:rPr>
        <w:t>141</w:t>
      </w:r>
      <w:r w:rsidRPr="00EE2B22">
        <w:rPr>
          <w:rFonts w:ascii="Times New Roman" w:hAnsi="Times New Roman" w:cs="Times New Roman"/>
        </w:rPr>
        <w:t>, 1133–1135.</w:t>
      </w:r>
    </w:p>
    <w:p w14:paraId="25FFB06E" w14:textId="77777777" w:rsidR="003B1E0A" w:rsidRPr="003B1E0A" w:rsidRDefault="003B1E0A" w:rsidP="00EE2B22">
      <w:pPr>
        <w:pStyle w:val="ListParagraph"/>
        <w:rPr>
          <w:rFonts w:ascii="Times New Roman" w:hAnsi="Times New Roman" w:cs="Times New Roman"/>
          <w:sz w:val="24"/>
          <w:szCs w:val="24"/>
        </w:rPr>
      </w:pPr>
    </w:p>
    <w:p w14:paraId="349254F7" w14:textId="7566DE45" w:rsidR="00A70FD1" w:rsidRPr="00EE2B22" w:rsidRDefault="00A70FD1" w:rsidP="00EE2B22">
      <w:pPr>
        <w:ind w:right="91"/>
        <w:rPr>
          <w:rFonts w:ascii="Times New Roman" w:hAnsi="Times New Roman" w:cs="Times New Roman"/>
        </w:rPr>
      </w:pPr>
      <w:r w:rsidRPr="00EE2B22">
        <w:rPr>
          <w:rFonts w:ascii="Times New Roman" w:hAnsi="Times New Roman" w:cs="Times New Roman"/>
        </w:rPr>
        <w:t xml:space="preserve">Mayo Clinic. (2021, June 25). </w:t>
      </w:r>
      <w:r w:rsidRPr="00EE2B22">
        <w:rPr>
          <w:rFonts w:ascii="Times New Roman" w:eastAsia="Calibri" w:hAnsi="Times New Roman" w:cs="Times New Roman"/>
          <w:i/>
        </w:rPr>
        <w:t xml:space="preserve">What are the vaccines’ side effects? </w:t>
      </w:r>
      <w:r w:rsidRPr="00EE2B22">
        <w:rPr>
          <w:rFonts w:ascii="Times New Roman" w:hAnsi="Times New Roman" w:cs="Times New Roman"/>
        </w:rPr>
        <w:t>Retrieved</w:t>
      </w:r>
      <w:r w:rsidR="003B1E0A" w:rsidRPr="00EE2B22">
        <w:rPr>
          <w:rFonts w:ascii="Times New Roman" w:hAnsi="Times New Roman" w:cs="Times New Roman"/>
        </w:rPr>
        <w:t xml:space="preserve"> </w:t>
      </w:r>
      <w:r w:rsidRPr="00EE2B22">
        <w:rPr>
          <w:rFonts w:ascii="Times New Roman" w:hAnsi="Times New Roman" w:cs="Times New Roman"/>
        </w:rPr>
        <w:t xml:space="preserve">June 28, 2021, from </w:t>
      </w:r>
      <w:hyperlink r:id="rId20">
        <w:r w:rsidRPr="00EE2B22">
          <w:rPr>
            <w:rFonts w:ascii="Times New Roman" w:hAnsi="Times New Roman" w:cs="Times New Roman"/>
          </w:rPr>
          <w:t>https://www.mayoclinic.org/coronavirus-covid-</w:t>
        </w:r>
      </w:hyperlink>
      <w:hyperlink r:id="rId21">
        <w:r w:rsidRPr="00EE2B22">
          <w:rPr>
            <w:rFonts w:ascii="Times New Roman" w:hAnsi="Times New Roman" w:cs="Times New Roman"/>
          </w:rPr>
          <w:t>19/vaccine-side-e</w:t>
        </w:r>
      </w:hyperlink>
      <w:hyperlink r:id="rId22">
        <w:r w:rsidRPr="00EE2B22">
          <w:rPr>
            <w:rFonts w:ascii="Times New Roman" w:eastAsia="Calibri" w:hAnsi="Times New Roman" w:cs="Times New Roman"/>
          </w:rPr>
          <w:t>ff</w:t>
        </w:r>
      </w:hyperlink>
      <w:hyperlink r:id="rId23">
        <w:r w:rsidRPr="00EE2B22">
          <w:rPr>
            <w:rFonts w:ascii="Times New Roman" w:hAnsi="Times New Roman" w:cs="Times New Roman"/>
          </w:rPr>
          <w:t>ects</w:t>
        </w:r>
      </w:hyperlink>
    </w:p>
    <w:p w14:paraId="2A73D9D5" w14:textId="77777777" w:rsidR="003B1E0A" w:rsidRDefault="003B1E0A" w:rsidP="00EE2B22">
      <w:pPr>
        <w:pStyle w:val="ListParagraph"/>
      </w:pPr>
    </w:p>
    <w:p w14:paraId="6CD25DBF" w14:textId="26B9902C" w:rsidR="00A70FD1" w:rsidRPr="00EE2B22" w:rsidRDefault="00A70FD1" w:rsidP="00EE2B22">
      <w:pPr>
        <w:ind w:right="91"/>
        <w:rPr>
          <w:rFonts w:ascii="Times New Roman" w:hAnsi="Times New Roman" w:cs="Times New Roman"/>
        </w:rPr>
      </w:pPr>
      <w:r w:rsidRPr="00EE2B22">
        <w:rPr>
          <w:rFonts w:ascii="Times New Roman" w:hAnsi="Times New Roman" w:cs="Times New Roman"/>
        </w:rPr>
        <w:lastRenderedPageBreak/>
        <w:t xml:space="preserve">Rendall, J. (2021, July 12). </w:t>
      </w:r>
      <w:r w:rsidRPr="00EE2B22">
        <w:rPr>
          <w:rFonts w:ascii="Times New Roman" w:eastAsia="Calibri" w:hAnsi="Times New Roman" w:cs="Times New Roman"/>
          <w:i/>
        </w:rPr>
        <w:t xml:space="preserve">Johnson &amp; </w:t>
      </w:r>
      <w:proofErr w:type="spellStart"/>
      <w:r w:rsidRPr="00EE2B22">
        <w:rPr>
          <w:rFonts w:ascii="Times New Roman" w:eastAsia="Calibri" w:hAnsi="Times New Roman" w:cs="Times New Roman"/>
          <w:i/>
        </w:rPr>
        <w:t>johnson</w:t>
      </w:r>
      <w:proofErr w:type="spellEnd"/>
      <w:r w:rsidRPr="00EE2B22">
        <w:rPr>
          <w:rFonts w:ascii="Times New Roman" w:eastAsia="Calibri" w:hAnsi="Times New Roman" w:cs="Times New Roman"/>
          <w:i/>
        </w:rPr>
        <w:t xml:space="preserve"> vaccine linked to rare cases of autoimmune disorder</w:t>
      </w:r>
      <w:r w:rsidRPr="00EE2B22">
        <w:rPr>
          <w:rFonts w:ascii="Times New Roman" w:hAnsi="Times New Roman" w:cs="Times New Roman"/>
        </w:rPr>
        <w:t xml:space="preserve">. Retrieved July 13, 2021, from </w:t>
      </w:r>
      <w:hyperlink r:id="rId24">
        <w:r w:rsidRPr="00EE2B22">
          <w:rPr>
            <w:rFonts w:ascii="Times New Roman" w:hAnsi="Times New Roman" w:cs="Times New Roman"/>
          </w:rPr>
          <w:t xml:space="preserve">https://www. </w:t>
        </w:r>
      </w:hyperlink>
      <w:hyperlink r:id="rId25">
        <w:r w:rsidRPr="00EE2B22">
          <w:rPr>
            <w:rFonts w:ascii="Times New Roman" w:hAnsi="Times New Roman" w:cs="Times New Roman"/>
          </w:rPr>
          <w:t>cnet.com/health/johnson-johnson-vaccine-linked-to-rare-cases-of</w:t>
        </w:r>
      </w:hyperlink>
      <w:hyperlink r:id="rId26">
        <w:r w:rsidRPr="00EE2B22">
          <w:rPr>
            <w:rFonts w:ascii="Times New Roman" w:hAnsi="Times New Roman" w:cs="Times New Roman"/>
          </w:rPr>
          <w:t>autoimmune-disorder/</w:t>
        </w:r>
      </w:hyperlink>
    </w:p>
    <w:p w14:paraId="37DCAC52" w14:textId="77777777" w:rsidR="003B1E0A" w:rsidRPr="009B7C3F" w:rsidRDefault="003B1E0A" w:rsidP="00EE2B22">
      <w:pPr>
        <w:ind w:left="-15" w:right="91"/>
      </w:pPr>
    </w:p>
    <w:p w14:paraId="46F2DA28" w14:textId="095AB17C" w:rsidR="00A70FD1" w:rsidRPr="00EE2B22" w:rsidRDefault="00A70FD1" w:rsidP="00EE2B22">
      <w:pPr>
        <w:ind w:right="91"/>
        <w:rPr>
          <w:rFonts w:ascii="Times New Roman" w:hAnsi="Times New Roman" w:cs="Times New Roman"/>
        </w:rPr>
      </w:pPr>
      <w:r w:rsidRPr="00EE2B22">
        <w:rPr>
          <w:rFonts w:ascii="Times New Roman" w:hAnsi="Times New Roman" w:cs="Times New Roman"/>
        </w:rPr>
        <w:t>Shimabukuro, T., Nguyen, M., Martin, D., &amp; DeStefano, F. (2015). Safety monitoring in the vaccine adverse event reporting system (</w:t>
      </w:r>
      <w:proofErr w:type="spellStart"/>
      <w:r w:rsidRPr="00EE2B22">
        <w:rPr>
          <w:rFonts w:ascii="Times New Roman" w:hAnsi="Times New Roman" w:cs="Times New Roman"/>
        </w:rPr>
        <w:t>vaers</w:t>
      </w:r>
      <w:proofErr w:type="spellEnd"/>
      <w:r w:rsidRPr="00EE2B22">
        <w:rPr>
          <w:rFonts w:ascii="Times New Roman" w:hAnsi="Times New Roman" w:cs="Times New Roman"/>
        </w:rPr>
        <w:t>).</w:t>
      </w:r>
      <w:r w:rsidRPr="00EE2B22">
        <w:rPr>
          <w:rFonts w:ascii="Times New Roman" w:eastAsia="Calibri" w:hAnsi="Times New Roman" w:cs="Times New Roman"/>
          <w:i/>
        </w:rPr>
        <w:t>Vaccine</w:t>
      </w:r>
      <w:r w:rsidRPr="00EE2B22">
        <w:rPr>
          <w:rFonts w:ascii="Times New Roman" w:hAnsi="Times New Roman" w:cs="Times New Roman"/>
        </w:rPr>
        <w:t xml:space="preserve">, </w:t>
      </w:r>
      <w:r w:rsidRPr="00EE2B22">
        <w:rPr>
          <w:rFonts w:ascii="Times New Roman" w:eastAsia="Calibri" w:hAnsi="Times New Roman" w:cs="Times New Roman"/>
          <w:i/>
        </w:rPr>
        <w:t>33</w:t>
      </w:r>
      <w:r w:rsidRPr="00EE2B22">
        <w:rPr>
          <w:rFonts w:ascii="Times New Roman" w:hAnsi="Times New Roman" w:cs="Times New Roman"/>
        </w:rPr>
        <w:t>, 4398–4405.</w:t>
      </w:r>
    </w:p>
    <w:p w14:paraId="10B049FD" w14:textId="77777777" w:rsidR="003B1E0A" w:rsidRPr="009B7C3F" w:rsidRDefault="003B1E0A" w:rsidP="00EE2B22">
      <w:pPr>
        <w:ind w:left="720" w:right="91"/>
      </w:pPr>
    </w:p>
    <w:p w14:paraId="6DA818FB" w14:textId="59804B80" w:rsidR="00A70FD1" w:rsidRPr="00EE2B22" w:rsidRDefault="00A70FD1" w:rsidP="00EE2B22">
      <w:pPr>
        <w:ind w:right="91"/>
        <w:rPr>
          <w:rFonts w:ascii="Times New Roman" w:hAnsi="Times New Roman" w:cs="Times New Roman"/>
        </w:rPr>
      </w:pPr>
      <w:r w:rsidRPr="00EE2B22">
        <w:rPr>
          <w:rFonts w:ascii="Times New Roman" w:hAnsi="Times New Roman" w:cs="Times New Roman"/>
        </w:rPr>
        <w:t xml:space="preserve">Singleton, J., Lloyd, J., </w:t>
      </w:r>
      <w:proofErr w:type="spellStart"/>
      <w:r w:rsidRPr="00EE2B22">
        <w:rPr>
          <w:rFonts w:ascii="Times New Roman" w:hAnsi="Times New Roman" w:cs="Times New Roman"/>
        </w:rPr>
        <w:t>Mootrey</w:t>
      </w:r>
      <w:proofErr w:type="spellEnd"/>
      <w:r w:rsidRPr="00EE2B22">
        <w:rPr>
          <w:rFonts w:ascii="Times New Roman" w:hAnsi="Times New Roman" w:cs="Times New Roman"/>
        </w:rPr>
        <w:t xml:space="preserve">, G., </w:t>
      </w:r>
      <w:proofErr w:type="spellStart"/>
      <w:r w:rsidRPr="00EE2B22">
        <w:rPr>
          <w:rFonts w:ascii="Times New Roman" w:hAnsi="Times New Roman" w:cs="Times New Roman"/>
        </w:rPr>
        <w:t>Salive</w:t>
      </w:r>
      <w:proofErr w:type="spellEnd"/>
      <w:r w:rsidRPr="00EE2B22">
        <w:rPr>
          <w:rFonts w:ascii="Times New Roman" w:hAnsi="Times New Roman" w:cs="Times New Roman"/>
        </w:rPr>
        <w:t>, M., &amp; Chen, R. (1999). An overview of the vaccine adverse event reporting system (</w:t>
      </w:r>
      <w:proofErr w:type="spellStart"/>
      <w:r w:rsidRPr="00EE2B22">
        <w:rPr>
          <w:rFonts w:ascii="Times New Roman" w:hAnsi="Times New Roman" w:cs="Times New Roman"/>
        </w:rPr>
        <w:t>vaers</w:t>
      </w:r>
      <w:proofErr w:type="spellEnd"/>
      <w:r w:rsidRPr="00EE2B22">
        <w:rPr>
          <w:rFonts w:ascii="Times New Roman" w:hAnsi="Times New Roman" w:cs="Times New Roman"/>
        </w:rPr>
        <w:t xml:space="preserve">) as a surveillance system. </w:t>
      </w:r>
      <w:r w:rsidRPr="00EE2B22">
        <w:rPr>
          <w:rFonts w:ascii="Times New Roman" w:eastAsia="Calibri" w:hAnsi="Times New Roman" w:cs="Times New Roman"/>
          <w:i/>
        </w:rPr>
        <w:t>Vaccine</w:t>
      </w:r>
      <w:r w:rsidRPr="00EE2B22">
        <w:rPr>
          <w:rFonts w:ascii="Times New Roman" w:hAnsi="Times New Roman" w:cs="Times New Roman"/>
        </w:rPr>
        <w:t xml:space="preserve">, </w:t>
      </w:r>
      <w:r w:rsidRPr="00EE2B22">
        <w:rPr>
          <w:rFonts w:ascii="Times New Roman" w:eastAsia="Calibri" w:hAnsi="Times New Roman" w:cs="Times New Roman"/>
          <w:i/>
        </w:rPr>
        <w:t>17</w:t>
      </w:r>
      <w:r w:rsidRPr="00EE2B22">
        <w:rPr>
          <w:rFonts w:ascii="Times New Roman" w:hAnsi="Times New Roman" w:cs="Times New Roman"/>
        </w:rPr>
        <w:t>, 2908–2017.</w:t>
      </w:r>
    </w:p>
    <w:p w14:paraId="2D3F75A7" w14:textId="77777777" w:rsidR="003B1E0A" w:rsidRPr="003B1E0A" w:rsidRDefault="003B1E0A" w:rsidP="00EE2B22">
      <w:pPr>
        <w:pStyle w:val="ListParagraph"/>
        <w:rPr>
          <w:rFonts w:ascii="Times New Roman" w:hAnsi="Times New Roman" w:cs="Times New Roman"/>
          <w:sz w:val="24"/>
          <w:szCs w:val="24"/>
        </w:rPr>
      </w:pPr>
    </w:p>
    <w:p w14:paraId="64D336F7" w14:textId="6BA0DBA1" w:rsidR="00A70FD1" w:rsidRPr="00EE2B22" w:rsidRDefault="00A70FD1" w:rsidP="00EE2B22">
      <w:pPr>
        <w:ind w:right="91"/>
        <w:rPr>
          <w:rFonts w:ascii="Times New Roman" w:hAnsi="Times New Roman" w:cs="Times New Roman"/>
        </w:rPr>
      </w:pPr>
      <w:r w:rsidRPr="00EE2B22">
        <w:rPr>
          <w:rFonts w:ascii="Times New Roman" w:hAnsi="Times New Roman" w:cs="Times New Roman"/>
        </w:rPr>
        <w:t xml:space="preserve">Tang, M. L. K., &amp; Mullins, R. J. (2017). Food allergy: Is Prevalence Increasing? </w:t>
      </w:r>
      <w:r w:rsidRPr="00EE2B22">
        <w:rPr>
          <w:rFonts w:ascii="Times New Roman" w:eastAsia="Calibri" w:hAnsi="Times New Roman" w:cs="Times New Roman"/>
          <w:i/>
        </w:rPr>
        <w:t>Internal Medicine Journal</w:t>
      </w:r>
      <w:r w:rsidRPr="00EE2B22">
        <w:rPr>
          <w:rFonts w:ascii="Times New Roman" w:hAnsi="Times New Roman" w:cs="Times New Roman"/>
        </w:rPr>
        <w:t xml:space="preserve">, </w:t>
      </w:r>
      <w:r w:rsidRPr="00EE2B22">
        <w:rPr>
          <w:rFonts w:ascii="Times New Roman" w:eastAsia="Calibri" w:hAnsi="Times New Roman" w:cs="Times New Roman"/>
          <w:i/>
        </w:rPr>
        <w:t>47</w:t>
      </w:r>
      <w:r w:rsidRPr="00EE2B22">
        <w:rPr>
          <w:rFonts w:ascii="Times New Roman" w:hAnsi="Times New Roman" w:cs="Times New Roman"/>
        </w:rPr>
        <w:t>, 256–261.</w:t>
      </w:r>
    </w:p>
    <w:p w14:paraId="1D5724FD" w14:textId="77777777" w:rsidR="003B1E0A" w:rsidRPr="003B1E0A" w:rsidRDefault="003B1E0A" w:rsidP="00EE2B22">
      <w:pPr>
        <w:pStyle w:val="ListParagraph"/>
        <w:rPr>
          <w:rFonts w:ascii="Times New Roman" w:hAnsi="Times New Roman" w:cs="Times New Roman"/>
          <w:sz w:val="24"/>
          <w:szCs w:val="24"/>
        </w:rPr>
      </w:pPr>
    </w:p>
    <w:p w14:paraId="15F07D39" w14:textId="662A5887" w:rsidR="00A70FD1" w:rsidRPr="00EE2B22" w:rsidRDefault="00A70FD1" w:rsidP="00EE2B22">
      <w:pPr>
        <w:ind w:right="91"/>
        <w:rPr>
          <w:rFonts w:ascii="Times New Roman" w:hAnsi="Times New Roman" w:cs="Times New Roman"/>
        </w:rPr>
      </w:pPr>
      <w:r w:rsidRPr="00EE2B22">
        <w:rPr>
          <w:rFonts w:ascii="Times New Roman" w:hAnsi="Times New Roman" w:cs="Times New Roman"/>
        </w:rPr>
        <w:t xml:space="preserve">The Daily Meal. (2012, February 8). </w:t>
      </w:r>
      <w:r w:rsidRPr="00EE2B22">
        <w:rPr>
          <w:rFonts w:ascii="Times New Roman" w:eastAsia="Calibri" w:hAnsi="Times New Roman" w:cs="Times New Roman"/>
          <w:i/>
        </w:rPr>
        <w:t>The 10 most common food allergies</w:t>
      </w:r>
      <w:r w:rsidRPr="00EE2B22">
        <w:rPr>
          <w:rFonts w:ascii="Times New Roman" w:hAnsi="Times New Roman" w:cs="Times New Roman"/>
        </w:rPr>
        <w:t xml:space="preserve">. Retrieved May 31, 2021, from </w:t>
      </w:r>
      <w:hyperlink r:id="rId27">
        <w:r w:rsidRPr="00EE2B22">
          <w:rPr>
            <w:rFonts w:ascii="Times New Roman" w:hAnsi="Times New Roman" w:cs="Times New Roman"/>
          </w:rPr>
          <w:t>https://www.thedailymeal.com/10</w:t>
        </w:r>
      </w:hyperlink>
      <w:hyperlink r:id="rId28">
        <w:r w:rsidRPr="00EE2B22">
          <w:rPr>
            <w:rFonts w:ascii="Times New Roman" w:hAnsi="Times New Roman" w:cs="Times New Roman"/>
          </w:rPr>
          <w:t>most-common-food-allergies-0</w:t>
        </w:r>
      </w:hyperlink>
    </w:p>
    <w:p w14:paraId="049546EB" w14:textId="77777777" w:rsidR="003B1E0A" w:rsidRDefault="003B1E0A" w:rsidP="00EE2B22">
      <w:pPr>
        <w:pStyle w:val="ListParagraph"/>
      </w:pPr>
    </w:p>
    <w:p w14:paraId="46009EDE" w14:textId="64C8BBF9" w:rsidR="00A70FD1" w:rsidRPr="00EE2B22" w:rsidRDefault="00A70FD1" w:rsidP="00EE2B22">
      <w:pPr>
        <w:spacing w:line="244" w:lineRule="auto"/>
        <w:rPr>
          <w:rFonts w:ascii="Times New Roman" w:hAnsi="Times New Roman" w:cs="Times New Roman"/>
        </w:rPr>
      </w:pPr>
      <w:r w:rsidRPr="00EE2B22">
        <w:rPr>
          <w:rFonts w:ascii="Times New Roman" w:hAnsi="Times New Roman" w:cs="Times New Roman"/>
        </w:rPr>
        <w:t xml:space="preserve">Varricchio, F., </w:t>
      </w:r>
      <w:proofErr w:type="spellStart"/>
      <w:r w:rsidRPr="00EE2B22">
        <w:rPr>
          <w:rFonts w:ascii="Times New Roman" w:hAnsi="Times New Roman" w:cs="Times New Roman"/>
        </w:rPr>
        <w:t>Iskander</w:t>
      </w:r>
      <w:proofErr w:type="spellEnd"/>
      <w:r w:rsidRPr="00EE2B22">
        <w:rPr>
          <w:rFonts w:ascii="Times New Roman" w:hAnsi="Times New Roman" w:cs="Times New Roman"/>
        </w:rPr>
        <w:t xml:space="preserve">, J., DeStefano, F., Ball, R., </w:t>
      </w:r>
      <w:proofErr w:type="spellStart"/>
      <w:r w:rsidRPr="00EE2B22">
        <w:rPr>
          <w:rFonts w:ascii="Times New Roman" w:hAnsi="Times New Roman" w:cs="Times New Roman"/>
        </w:rPr>
        <w:t>Pless</w:t>
      </w:r>
      <w:proofErr w:type="spellEnd"/>
      <w:r w:rsidRPr="00EE2B22">
        <w:rPr>
          <w:rFonts w:ascii="Times New Roman" w:hAnsi="Times New Roman" w:cs="Times New Roman"/>
        </w:rPr>
        <w:t xml:space="preserve">, R., Braun, M., &amp; Chen, R. (2004). Understanding vaccine safety information from the vaccine adverse event reporting system. </w:t>
      </w:r>
      <w:r w:rsidRPr="00EE2B22">
        <w:rPr>
          <w:rFonts w:ascii="Times New Roman" w:eastAsia="Calibri" w:hAnsi="Times New Roman" w:cs="Times New Roman"/>
          <w:i/>
        </w:rPr>
        <w:t>Pediatric Infectious Disease Journal</w:t>
      </w:r>
      <w:r w:rsidRPr="00EE2B22">
        <w:rPr>
          <w:rFonts w:ascii="Times New Roman" w:hAnsi="Times New Roman" w:cs="Times New Roman"/>
        </w:rPr>
        <w:t xml:space="preserve">, </w:t>
      </w:r>
      <w:r w:rsidRPr="00EE2B22">
        <w:rPr>
          <w:rFonts w:ascii="Times New Roman" w:eastAsia="Calibri" w:hAnsi="Times New Roman" w:cs="Times New Roman"/>
          <w:i/>
        </w:rPr>
        <w:t>23</w:t>
      </w:r>
      <w:r w:rsidRPr="00EE2B22">
        <w:rPr>
          <w:rFonts w:ascii="Times New Roman" w:hAnsi="Times New Roman" w:cs="Times New Roman"/>
        </w:rPr>
        <w:t>, 287–294.</w:t>
      </w:r>
    </w:p>
    <w:p w14:paraId="4BC09608" w14:textId="77777777" w:rsidR="003B1E0A" w:rsidRPr="003B1E0A" w:rsidRDefault="003B1E0A" w:rsidP="00EE2B22">
      <w:pPr>
        <w:pStyle w:val="ListParagraph"/>
        <w:rPr>
          <w:rFonts w:ascii="Times New Roman" w:hAnsi="Times New Roman" w:cs="Times New Roman"/>
          <w:sz w:val="24"/>
          <w:szCs w:val="24"/>
        </w:rPr>
      </w:pPr>
    </w:p>
    <w:p w14:paraId="20DB761A" w14:textId="19DD9994" w:rsidR="00A70FD1" w:rsidRPr="00EE2B22" w:rsidRDefault="00A70FD1" w:rsidP="00EE2B22">
      <w:pPr>
        <w:ind w:right="91"/>
        <w:rPr>
          <w:rFonts w:ascii="Times New Roman" w:hAnsi="Times New Roman" w:cs="Times New Roman"/>
        </w:rPr>
      </w:pPr>
      <w:proofErr w:type="spellStart"/>
      <w:r w:rsidRPr="00EE2B22">
        <w:rPr>
          <w:rFonts w:ascii="Times New Roman" w:hAnsi="Times New Roman" w:cs="Times New Roman"/>
          <w:lang w:val="nl-NL"/>
        </w:rPr>
        <w:t>Veronin</w:t>
      </w:r>
      <w:proofErr w:type="spellEnd"/>
      <w:r w:rsidRPr="00EE2B22">
        <w:rPr>
          <w:rFonts w:ascii="Times New Roman" w:hAnsi="Times New Roman" w:cs="Times New Roman"/>
          <w:lang w:val="nl-NL"/>
        </w:rPr>
        <w:t xml:space="preserve">, M., Lang, A., &amp; </w:t>
      </w:r>
      <w:proofErr w:type="spellStart"/>
      <w:r w:rsidRPr="00EE2B22">
        <w:rPr>
          <w:rFonts w:ascii="Times New Roman" w:hAnsi="Times New Roman" w:cs="Times New Roman"/>
          <w:lang w:val="nl-NL"/>
        </w:rPr>
        <w:t>Reinert</w:t>
      </w:r>
      <w:proofErr w:type="spellEnd"/>
      <w:r w:rsidRPr="00EE2B22">
        <w:rPr>
          <w:rFonts w:ascii="Times New Roman" w:hAnsi="Times New Roman" w:cs="Times New Roman"/>
          <w:lang w:val="nl-NL"/>
        </w:rPr>
        <w:t xml:space="preserve">, J. (2021). </w:t>
      </w:r>
      <w:r w:rsidRPr="00EE2B22">
        <w:rPr>
          <w:rFonts w:ascii="Times New Roman" w:hAnsi="Times New Roman" w:cs="Times New Roman"/>
        </w:rPr>
        <w:t xml:space="preserve">Remdesivir and coronavirus disease 2019 (covid-19): Essential questions and answers for pharmacists and pharmacy technicians. </w:t>
      </w:r>
      <w:r w:rsidRPr="00EE2B22">
        <w:rPr>
          <w:rFonts w:ascii="Times New Roman" w:eastAsia="Calibri" w:hAnsi="Times New Roman" w:cs="Times New Roman"/>
          <w:i/>
        </w:rPr>
        <w:t>Journal of Pharmacy Technology</w:t>
      </w:r>
      <w:r w:rsidRPr="00EE2B22">
        <w:rPr>
          <w:rFonts w:ascii="Times New Roman" w:hAnsi="Times New Roman" w:cs="Times New Roman"/>
        </w:rPr>
        <w:t xml:space="preserve">, </w:t>
      </w:r>
      <w:r w:rsidRPr="00EE2B22">
        <w:rPr>
          <w:rFonts w:ascii="Times New Roman" w:eastAsia="Calibri" w:hAnsi="Times New Roman" w:cs="Times New Roman"/>
          <w:i/>
        </w:rPr>
        <w:t>37</w:t>
      </w:r>
      <w:r w:rsidRPr="00EE2B22">
        <w:rPr>
          <w:rFonts w:ascii="Times New Roman" w:hAnsi="Times New Roman" w:cs="Times New Roman"/>
        </w:rPr>
        <w:t>, 62–74.</w:t>
      </w:r>
    </w:p>
    <w:p w14:paraId="33B27EDA" w14:textId="77777777" w:rsidR="003B1E0A" w:rsidRPr="003B1E0A" w:rsidRDefault="003B1E0A" w:rsidP="00EE2B22">
      <w:pPr>
        <w:pStyle w:val="ListParagraph"/>
        <w:rPr>
          <w:rFonts w:ascii="Times New Roman" w:hAnsi="Times New Roman" w:cs="Times New Roman"/>
          <w:sz w:val="24"/>
          <w:szCs w:val="24"/>
        </w:rPr>
      </w:pPr>
    </w:p>
    <w:p w14:paraId="1E4E99EA" w14:textId="77777777" w:rsidR="00A70FD1" w:rsidRPr="00EE2B22" w:rsidRDefault="00A70FD1" w:rsidP="00EE2B22">
      <w:pPr>
        <w:ind w:right="91"/>
        <w:rPr>
          <w:rFonts w:ascii="Times New Roman" w:hAnsi="Times New Roman" w:cs="Times New Roman"/>
        </w:rPr>
      </w:pPr>
      <w:r w:rsidRPr="00EE2B22">
        <w:rPr>
          <w:rFonts w:ascii="Times New Roman" w:hAnsi="Times New Roman" w:cs="Times New Roman"/>
        </w:rPr>
        <w:t xml:space="preserve">WebMD. (2021, May 31). </w:t>
      </w:r>
      <w:r w:rsidRPr="00EE2B22">
        <w:rPr>
          <w:rFonts w:ascii="Times New Roman" w:eastAsia="Calibri" w:hAnsi="Times New Roman" w:cs="Times New Roman"/>
          <w:i/>
        </w:rPr>
        <w:t>Common drugs that cause allergies</w:t>
      </w:r>
      <w:r w:rsidRPr="00EE2B22">
        <w:rPr>
          <w:rFonts w:ascii="Times New Roman" w:hAnsi="Times New Roman" w:cs="Times New Roman"/>
        </w:rPr>
        <w:t xml:space="preserve">. Retrieved May 31, 2021, from </w:t>
      </w:r>
      <w:hyperlink r:id="rId29">
        <w:r w:rsidRPr="00EE2B22">
          <w:rPr>
            <w:rFonts w:ascii="Times New Roman" w:hAnsi="Times New Roman" w:cs="Times New Roman"/>
          </w:rPr>
          <w:t>https://www.webmd.com/allergies/most-common</w:t>
        </w:r>
      </w:hyperlink>
      <w:hyperlink r:id="rId30">
        <w:r w:rsidRPr="00EE2B22">
          <w:rPr>
            <w:rFonts w:ascii="Times New Roman" w:hAnsi="Times New Roman" w:cs="Times New Roman"/>
          </w:rPr>
          <w:t>drugs-that-cause-allergies</w:t>
        </w:r>
      </w:hyperlink>
    </w:p>
    <w:p w14:paraId="48A0FA6B" w14:textId="77777777" w:rsidR="00022627" w:rsidRPr="00022627" w:rsidRDefault="00022627" w:rsidP="00022627">
      <w:pPr>
        <w:spacing w:after="346" w:line="259" w:lineRule="auto"/>
        <w:ind w:left="10" w:hanging="10"/>
        <w:jc w:val="both"/>
        <w:rPr>
          <w:rFonts w:ascii="Times New Roman" w:hAnsi="Times New Roman" w:cs="Times New Roman"/>
        </w:rPr>
      </w:pPr>
    </w:p>
    <w:sectPr w:rsidR="00022627" w:rsidRPr="00022627" w:rsidSect="00B70CAE">
      <w:headerReference w:type="even" r:id="rId31"/>
      <w:headerReference w:type="default" r:id="rId32"/>
      <w:footerReference w:type="even" r:id="rId33"/>
      <w:footerReference w:type="default" r:id="rId34"/>
      <w:headerReference w:type="first" r:id="rId35"/>
      <w:footerReference w:type="first" r:id="rId36"/>
      <w:pgSz w:w="12240" w:h="15840"/>
      <w:pgMar w:top="2155" w:right="2155" w:bottom="2155" w:left="2155" w:header="720" w:footer="720" w:gutter="0"/>
      <w:pgNumType w:start="2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6FAAA" w14:textId="77777777" w:rsidR="00693D33" w:rsidRDefault="00693D33" w:rsidP="009B7A3C">
      <w:r>
        <w:separator/>
      </w:r>
    </w:p>
  </w:endnote>
  <w:endnote w:type="continuationSeparator" w:id="0">
    <w:p w14:paraId="7797A343" w14:textId="77777777" w:rsidR="00693D33" w:rsidRDefault="00693D33" w:rsidP="009B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Frutiger Next Pro Light">
    <w:altName w:val="Calibri"/>
    <w:panose1 w:val="020B0604020202020204"/>
    <w:charset w:val="00"/>
    <w:family w:val="swiss"/>
    <w:notTrueType/>
    <w:pitch w:val="default"/>
    <w:sig w:usb0="00000003" w:usb1="00000000" w:usb2="00000000" w:usb3="00000000" w:csb0="00000001" w:csb1="00000000"/>
  </w:font>
  <w:font w:name="FrutigerNext LT Light">
    <w:altName w:val="FrutigerNext LT Light"/>
    <w:panose1 w:val="020B0604020202020204"/>
    <w:charset w:val="00"/>
    <w:family w:val="swiss"/>
    <w:notTrueType/>
    <w:pitch w:val="default"/>
    <w:sig w:usb0="00000003" w:usb1="00000000" w:usb2="00000000" w:usb3="00000000" w:csb0="00000001" w:csb1="00000000"/>
  </w:font>
  <w:font w:name="CA Sans">
    <w:altName w:val="CA Sans"/>
    <w:panose1 w:val="020B0604020202020204"/>
    <w:charset w:val="00"/>
    <w:family w:val="swiss"/>
    <w:notTrueType/>
    <w:pitch w:val="default"/>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8214" w14:textId="77777777" w:rsidR="00985BDF" w:rsidRPr="006F61F4" w:rsidRDefault="00985BDF" w:rsidP="009B7A3C">
    <w:pPr>
      <w:pStyle w:val="Footer"/>
      <w:pBdr>
        <w:top w:val="single" w:sz="18" w:space="1" w:color="auto"/>
      </w:pBdr>
      <w:rPr>
        <w:rFonts w:ascii="Angsana New" w:hAnsi="Angsana New" w:cs="Angsana New"/>
        <w:b/>
        <w:sz w:val="16"/>
        <w:szCs w:val="16"/>
      </w:rPr>
    </w:pPr>
    <w:r w:rsidRPr="006F61F4">
      <w:rPr>
        <w:rFonts w:ascii="Angsana New" w:hAnsi="Angsana New" w:cs="Angsana New"/>
        <w:sz w:val="16"/>
        <w:szCs w:val="16"/>
      </w:rPr>
      <w:t>©</w:t>
    </w:r>
    <w:r w:rsidRPr="006F61F4">
      <w:rPr>
        <w:rFonts w:ascii="Angsana New" w:hAnsi="Angsana New" w:cs="Angsana New"/>
        <w:b/>
        <w:sz w:val="16"/>
        <w:szCs w:val="16"/>
      </w:rPr>
      <w:t>International Information M</w:t>
    </w:r>
    <w:r>
      <w:rPr>
        <w:rFonts w:ascii="Angsana New" w:hAnsi="Angsana New" w:cs="Angsana New"/>
        <w:b/>
        <w:sz w:val="16"/>
        <w:szCs w:val="16"/>
      </w:rPr>
      <w:t xml:space="preserve">anagement Association, Inc. 2017        </w:t>
    </w:r>
    <w:r w:rsidRPr="006F61F4">
      <w:rPr>
        <w:rFonts w:ascii="Times New Roman" w:hAnsi="Times New Roman" w:cs="Times New Roman"/>
        <w:b/>
        <w:sz w:val="16"/>
        <w:szCs w:val="16"/>
      </w:rPr>
      <w:fldChar w:fldCharType="begin"/>
    </w:r>
    <w:r w:rsidRPr="006F61F4">
      <w:rPr>
        <w:rFonts w:ascii="Times New Roman" w:hAnsi="Times New Roman" w:cs="Times New Roman"/>
        <w:b/>
        <w:sz w:val="16"/>
        <w:szCs w:val="16"/>
      </w:rPr>
      <w:instrText>PAGE   \* MERGEFORMAT</w:instrText>
    </w:r>
    <w:r w:rsidRPr="006F61F4">
      <w:rPr>
        <w:rFonts w:ascii="Times New Roman" w:hAnsi="Times New Roman" w:cs="Times New Roman"/>
        <w:b/>
        <w:sz w:val="16"/>
        <w:szCs w:val="16"/>
      </w:rPr>
      <w:fldChar w:fldCharType="separate"/>
    </w:r>
    <w:r>
      <w:rPr>
        <w:rFonts w:ascii="Times New Roman" w:hAnsi="Times New Roman" w:cs="Times New Roman"/>
        <w:b/>
        <w:noProof/>
        <w:sz w:val="16"/>
        <w:szCs w:val="16"/>
      </w:rPr>
      <w:t>2</w:t>
    </w:r>
    <w:r w:rsidRPr="006F61F4">
      <w:rPr>
        <w:rFonts w:ascii="Times New Roman" w:hAnsi="Times New Roman" w:cs="Times New Roman"/>
        <w:b/>
        <w:sz w:val="16"/>
        <w:szCs w:val="16"/>
      </w:rPr>
      <w:fldChar w:fldCharType="end"/>
    </w:r>
    <w:r>
      <w:rPr>
        <w:rFonts w:ascii="Times New Roman" w:hAnsi="Times New Roman" w:cs="Times New Roman"/>
        <w:b/>
        <w:sz w:val="16"/>
        <w:szCs w:val="16"/>
      </w:rPr>
      <w:t xml:space="preserve">      </w:t>
    </w:r>
    <w:r w:rsidRPr="006F61F4">
      <w:rPr>
        <w:rFonts w:ascii="Angsana New" w:hAnsi="Angsana New" w:cs="Angsana New"/>
        <w:b/>
        <w:sz w:val="16"/>
        <w:szCs w:val="16"/>
      </w:rPr>
      <w:t>ISSN: 1941-6679-On-line Copy</w:t>
    </w:r>
  </w:p>
  <w:p w14:paraId="57F5B04E" w14:textId="77777777" w:rsidR="00985BDF" w:rsidRDefault="00985B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AC5B8" w14:textId="15C35E96" w:rsidR="00985BDF" w:rsidRPr="006F61F4" w:rsidRDefault="00985BDF" w:rsidP="006F61F4">
    <w:pPr>
      <w:pStyle w:val="Footer"/>
      <w:pBdr>
        <w:top w:val="single" w:sz="18" w:space="1" w:color="auto"/>
      </w:pBdr>
      <w:rPr>
        <w:rFonts w:ascii="Angsana New" w:hAnsi="Angsana New" w:cs="Angsana New"/>
        <w:b/>
        <w:sz w:val="16"/>
        <w:szCs w:val="16"/>
      </w:rPr>
    </w:pPr>
    <w:r w:rsidRPr="006F61F4">
      <w:rPr>
        <w:rFonts w:ascii="Angsana New" w:hAnsi="Angsana New" w:cs="Angsana New"/>
        <w:sz w:val="16"/>
        <w:szCs w:val="16"/>
      </w:rPr>
      <w:t>©</w:t>
    </w:r>
    <w:r w:rsidRPr="006F61F4">
      <w:rPr>
        <w:rFonts w:ascii="Angsana New" w:hAnsi="Angsana New" w:cs="Angsana New"/>
        <w:b/>
        <w:sz w:val="16"/>
        <w:szCs w:val="16"/>
      </w:rPr>
      <w:t>International Information M</w:t>
    </w:r>
    <w:r>
      <w:rPr>
        <w:rFonts w:ascii="Angsana New" w:hAnsi="Angsana New" w:cs="Angsana New"/>
        <w:b/>
        <w:sz w:val="16"/>
        <w:szCs w:val="16"/>
      </w:rPr>
      <w:t xml:space="preserve">anagement Association, Inc. 2021 </w:t>
    </w:r>
    <w:r>
      <w:rPr>
        <w:rFonts w:ascii="Angsana New" w:hAnsi="Angsana New" w:cs="Angsana New"/>
        <w:b/>
        <w:sz w:val="16"/>
        <w:szCs w:val="16"/>
      </w:rPr>
      <w:tab/>
    </w:r>
    <w:r w:rsidRPr="006F61F4">
      <w:rPr>
        <w:rFonts w:ascii="Times New Roman" w:hAnsi="Times New Roman" w:cs="Times New Roman"/>
        <w:b/>
        <w:sz w:val="16"/>
        <w:szCs w:val="16"/>
      </w:rPr>
      <w:fldChar w:fldCharType="begin"/>
    </w:r>
    <w:r w:rsidRPr="006F61F4">
      <w:rPr>
        <w:rFonts w:ascii="Times New Roman" w:hAnsi="Times New Roman" w:cs="Times New Roman"/>
        <w:b/>
        <w:sz w:val="16"/>
        <w:szCs w:val="16"/>
      </w:rPr>
      <w:instrText>PAGE   \* MERGEFORMAT</w:instrText>
    </w:r>
    <w:r w:rsidRPr="006F61F4">
      <w:rPr>
        <w:rFonts w:ascii="Times New Roman" w:hAnsi="Times New Roman" w:cs="Times New Roman"/>
        <w:b/>
        <w:sz w:val="16"/>
        <w:szCs w:val="16"/>
      </w:rPr>
      <w:fldChar w:fldCharType="separate"/>
    </w:r>
    <w:r>
      <w:rPr>
        <w:rFonts w:ascii="Times New Roman" w:hAnsi="Times New Roman" w:cs="Times New Roman"/>
        <w:b/>
        <w:noProof/>
        <w:sz w:val="16"/>
        <w:szCs w:val="16"/>
      </w:rPr>
      <w:t>17</w:t>
    </w:r>
    <w:r w:rsidRPr="006F61F4">
      <w:rPr>
        <w:rFonts w:ascii="Times New Roman" w:hAnsi="Times New Roman" w:cs="Times New Roman"/>
        <w:b/>
        <w:sz w:val="16"/>
        <w:szCs w:val="16"/>
      </w:rPr>
      <w:fldChar w:fldCharType="end"/>
    </w:r>
    <w:r>
      <w:rPr>
        <w:rFonts w:ascii="Angsana New" w:hAnsi="Angsana New" w:cs="Angsana New"/>
        <w:b/>
        <w:sz w:val="16"/>
        <w:szCs w:val="16"/>
      </w:rPr>
      <w:t xml:space="preserve">        </w:t>
    </w:r>
  </w:p>
  <w:p w14:paraId="5ED017C2" w14:textId="77777777" w:rsidR="00985BDF" w:rsidRDefault="00985BDF">
    <w:pPr>
      <w:pStyle w:val="Footer"/>
    </w:pPr>
    <w:r w:rsidRPr="00290078">
      <w:rPr>
        <w:rFonts w:ascii="Times New Roman" w:hAnsi="Times New Roman" w:cs="Times New Roman"/>
      </w:rPr>
      <w:t>.</w:t>
    </w:r>
  </w:p>
  <w:p w14:paraId="1EE8C65C" w14:textId="77777777" w:rsidR="00985BDF" w:rsidRDefault="00985BD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CE0C" w14:textId="48E7135F" w:rsidR="00985BDF" w:rsidRPr="006F61F4" w:rsidRDefault="00985BDF" w:rsidP="00143896">
    <w:pPr>
      <w:pStyle w:val="Footer"/>
      <w:pBdr>
        <w:top w:val="single" w:sz="18" w:space="1" w:color="auto"/>
      </w:pBdr>
      <w:rPr>
        <w:rFonts w:ascii="Angsana New" w:hAnsi="Angsana New" w:cs="Angsana New"/>
        <w:b/>
        <w:sz w:val="16"/>
        <w:szCs w:val="16"/>
      </w:rPr>
    </w:pPr>
    <w:r w:rsidRPr="006F61F4">
      <w:rPr>
        <w:rFonts w:ascii="Angsana New" w:hAnsi="Angsana New" w:cs="Angsana New"/>
        <w:sz w:val="16"/>
        <w:szCs w:val="16"/>
      </w:rPr>
      <w:t>©</w:t>
    </w:r>
    <w:r w:rsidRPr="006F61F4">
      <w:rPr>
        <w:rFonts w:ascii="Angsana New" w:hAnsi="Angsana New" w:cs="Angsana New"/>
        <w:b/>
        <w:sz w:val="16"/>
        <w:szCs w:val="16"/>
      </w:rPr>
      <w:t>International Information M</w:t>
    </w:r>
    <w:r>
      <w:rPr>
        <w:rFonts w:ascii="Angsana New" w:hAnsi="Angsana New" w:cs="Angsana New"/>
        <w:b/>
        <w:sz w:val="16"/>
        <w:szCs w:val="16"/>
      </w:rPr>
      <w:t xml:space="preserve">anagement Association, Inc. 2021 </w:t>
    </w:r>
    <w:r>
      <w:rPr>
        <w:rFonts w:ascii="Angsana New" w:hAnsi="Angsana New" w:cs="Angsana New"/>
        <w:b/>
        <w:sz w:val="16"/>
        <w:szCs w:val="16"/>
      </w:rPr>
      <w:tab/>
    </w:r>
    <w:r w:rsidRPr="006F61F4">
      <w:rPr>
        <w:rFonts w:ascii="Times New Roman" w:hAnsi="Times New Roman" w:cs="Times New Roman"/>
        <w:b/>
        <w:sz w:val="16"/>
        <w:szCs w:val="16"/>
      </w:rPr>
      <w:fldChar w:fldCharType="begin"/>
    </w:r>
    <w:r w:rsidRPr="006F61F4">
      <w:rPr>
        <w:rFonts w:ascii="Times New Roman" w:hAnsi="Times New Roman" w:cs="Times New Roman"/>
        <w:b/>
        <w:sz w:val="16"/>
        <w:szCs w:val="16"/>
      </w:rPr>
      <w:instrText>PAGE   \* MERGEFORMAT</w:instrText>
    </w:r>
    <w:r w:rsidRPr="006F61F4">
      <w:rPr>
        <w:rFonts w:ascii="Times New Roman" w:hAnsi="Times New Roman" w:cs="Times New Roman"/>
        <w:b/>
        <w:sz w:val="16"/>
        <w:szCs w:val="16"/>
      </w:rPr>
      <w:fldChar w:fldCharType="separate"/>
    </w:r>
    <w:r>
      <w:rPr>
        <w:rFonts w:ascii="Times New Roman" w:hAnsi="Times New Roman" w:cs="Times New Roman"/>
        <w:b/>
        <w:noProof/>
        <w:sz w:val="16"/>
        <w:szCs w:val="16"/>
      </w:rPr>
      <w:t>1</w:t>
    </w:r>
    <w:r w:rsidRPr="006F61F4">
      <w:rPr>
        <w:rFonts w:ascii="Times New Roman" w:hAnsi="Times New Roman" w:cs="Times New Roman"/>
        <w:b/>
        <w:sz w:val="16"/>
        <w:szCs w:val="16"/>
      </w:rPr>
      <w:fldChar w:fldCharType="end"/>
    </w:r>
    <w:r>
      <w:rPr>
        <w:rFonts w:ascii="Angsana New" w:hAnsi="Angsana New" w:cs="Angsana New"/>
        <w:b/>
        <w:sz w:val="16"/>
        <w:szCs w:val="16"/>
      </w:rPr>
      <w:t xml:space="preserve">        </w:t>
    </w:r>
  </w:p>
  <w:p w14:paraId="304BA077" w14:textId="77777777" w:rsidR="00985BDF" w:rsidRDefault="00985BDF">
    <w:pPr>
      <w:tabs>
        <w:tab w:val="center" w:pos="4320"/>
        <w:tab w:val="right" w:pos="8640"/>
      </w:tabs>
      <w:spacing w:after="720"/>
      <w:jc w:val="right"/>
    </w:pPr>
  </w:p>
  <w:p w14:paraId="2153C99B" w14:textId="77777777" w:rsidR="00985BDF" w:rsidRDefault="00985B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A5F5E" w14:textId="77777777" w:rsidR="00693D33" w:rsidRDefault="00693D33" w:rsidP="009B7A3C">
      <w:r>
        <w:separator/>
      </w:r>
    </w:p>
  </w:footnote>
  <w:footnote w:type="continuationSeparator" w:id="0">
    <w:p w14:paraId="147C882C" w14:textId="77777777" w:rsidR="00693D33" w:rsidRDefault="00693D33" w:rsidP="009B7A3C">
      <w:r>
        <w:continuationSeparator/>
      </w:r>
    </w:p>
  </w:footnote>
  <w:footnote w:id="1">
    <w:p w14:paraId="50407B25" w14:textId="77777777" w:rsidR="00985BDF" w:rsidRDefault="00985BDF" w:rsidP="00AE2411">
      <w:pPr>
        <w:pStyle w:val="footnotedescription"/>
        <w:spacing w:after="12"/>
      </w:pPr>
      <w:r>
        <w:rPr>
          <w:rStyle w:val="footnotemark"/>
        </w:rPr>
        <w:footnoteRef/>
      </w:r>
      <w:r>
        <w:t xml:space="preserve"> rob.schumaker@gmail.com</w:t>
      </w:r>
    </w:p>
  </w:footnote>
  <w:footnote w:id="2">
    <w:p w14:paraId="54C10C90" w14:textId="77777777" w:rsidR="00985BDF" w:rsidRDefault="00985BDF" w:rsidP="00AE2411">
      <w:pPr>
        <w:pStyle w:val="footnotedescription"/>
        <w:spacing w:after="12"/>
        <w:ind w:left="256"/>
      </w:pPr>
      <w:r>
        <w:rPr>
          <w:rStyle w:val="footnotemark"/>
        </w:rPr>
        <w:footnoteRef/>
      </w:r>
      <w:r>
        <w:t xml:space="preserve"> mveronin@uttyler.edu</w:t>
      </w:r>
    </w:p>
  </w:footnote>
  <w:footnote w:id="3">
    <w:p w14:paraId="0D0BCD27" w14:textId="77777777" w:rsidR="00985BDF" w:rsidRDefault="00985BDF" w:rsidP="00AE2411">
      <w:pPr>
        <w:pStyle w:val="footnotedescription"/>
        <w:spacing w:after="0" w:line="272" w:lineRule="auto"/>
        <w:ind w:left="256" w:right="3152"/>
      </w:pPr>
      <w:r>
        <w:rPr>
          <w:rStyle w:val="footnotemark"/>
        </w:rPr>
        <w:footnoteRef/>
      </w:r>
      <w:r>
        <w:t xml:space="preserve"> trevor.rohm@dschd.org </w:t>
      </w:r>
      <w:r>
        <w:rPr>
          <w:vertAlign w:val="superscript"/>
        </w:rPr>
        <w:t>§</w:t>
      </w:r>
      <w:r>
        <w:t>rohitcool93@gmail.com</w:t>
      </w:r>
    </w:p>
  </w:footnote>
  <w:footnote w:id="4">
    <w:p w14:paraId="25726056" w14:textId="77777777" w:rsidR="00985BDF" w:rsidRDefault="00985BDF" w:rsidP="00000C9A">
      <w:pPr>
        <w:pStyle w:val="footnotedescription"/>
        <w:spacing w:after="0"/>
      </w:pPr>
      <w:r>
        <w:rPr>
          <w:rStyle w:val="footnotemark"/>
        </w:rPr>
        <w:footnoteRef/>
      </w:r>
      <w:r>
        <w:t xml:space="preserve"> https://vaers.hhs.gov/index.html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EEF7" w14:textId="77777777" w:rsidR="00985BDF" w:rsidRDefault="00985BDF" w:rsidP="001D6269">
    <w:pPr>
      <w:spacing w:before="13"/>
      <w:ind w:left="20"/>
      <w:rPr>
        <w:b/>
        <w:sz w:val="16"/>
      </w:rPr>
    </w:pPr>
    <w:r>
      <w:rPr>
        <w:b/>
        <w:sz w:val="16"/>
      </w:rPr>
      <w:t>Journal of International Technology and Information Management</w:t>
    </w:r>
    <w:r w:rsidRPr="001D6269">
      <w:rPr>
        <w:b/>
        <w:sz w:val="16"/>
      </w:rPr>
      <w:t xml:space="preserve"> </w:t>
    </w:r>
    <w:r>
      <w:rPr>
        <w:b/>
        <w:sz w:val="16"/>
      </w:rPr>
      <w:t xml:space="preserve">  </w:t>
    </w:r>
    <w:r>
      <w:rPr>
        <w:b/>
        <w:sz w:val="16"/>
      </w:rPr>
      <w:tab/>
    </w:r>
    <w:r>
      <w:rPr>
        <w:b/>
        <w:sz w:val="16"/>
      </w:rPr>
      <w:tab/>
      <w:t>Volume 29, Number 2 2020</w:t>
    </w:r>
  </w:p>
  <w:p w14:paraId="1C7F627C" w14:textId="77777777" w:rsidR="00985BDF" w:rsidRDefault="00985BDF" w:rsidP="001D6269">
    <w:pPr>
      <w:spacing w:before="13"/>
      <w:ind w:left="20"/>
      <w:rPr>
        <w:b/>
        <w:sz w:val="16"/>
      </w:rPr>
    </w:pPr>
  </w:p>
  <w:p w14:paraId="5DF1DFF9" w14:textId="77777777" w:rsidR="00985BDF" w:rsidRPr="009B7A3C" w:rsidRDefault="00985BDF" w:rsidP="009B7A3C">
    <w:pPr>
      <w:pBdr>
        <w:bottom w:val="single" w:sz="18" w:space="1" w:color="auto"/>
      </w:pBdr>
      <w:rPr>
        <w:rFonts w:ascii="Times New Roman" w:eastAsia="Calibri" w:hAnsi="Times New Roman" w:cs="Times New Roman"/>
        <w:b/>
        <w:sz w:val="16"/>
        <w:szCs w:val="16"/>
      </w:rPr>
    </w:pPr>
    <w:r>
      <w:rPr>
        <w:rFonts w:ascii="Times New Roman" w:eastAsia="Times New Roman" w:hAnsi="Times New Roman" w:cs="Times New Roman"/>
        <w:b/>
        <w:iCs/>
        <w:sz w:val="16"/>
        <w:szCs w:val="16"/>
        <w:shd w:val="clear" w:color="auto" w:fill="F9F9F9"/>
        <w:lang w:val="en-GB" w:eastAsia="en-GB"/>
      </w:rPr>
      <w:t xml:space="preserve"> </w:t>
    </w:r>
  </w:p>
  <w:p w14:paraId="232A44C0" w14:textId="77777777" w:rsidR="00985BDF" w:rsidRDefault="00985BDF"/>
  <w:p w14:paraId="00B28D05" w14:textId="77777777" w:rsidR="00985BDF" w:rsidRDefault="00985B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44793" w14:textId="2285651D" w:rsidR="00985BDF" w:rsidRPr="0074554D" w:rsidRDefault="00985BDF" w:rsidP="00EE2B22">
    <w:pPr>
      <w:pStyle w:val="Heading1"/>
      <w:tabs>
        <w:tab w:val="left" w:pos="3969"/>
      </w:tabs>
      <w:rPr>
        <w:rFonts w:ascii="Times New Roman" w:hAnsi="Times New Roman" w:cs="Times New Roman"/>
        <w:b/>
        <w:color w:val="auto"/>
        <w:sz w:val="16"/>
        <w:szCs w:val="16"/>
        <w:lang w:val="nl-NL"/>
      </w:rPr>
    </w:pPr>
    <w:proofErr w:type="spellStart"/>
    <w:r w:rsidRPr="003A1C0B">
      <w:rPr>
        <w:rFonts w:ascii="Times New Roman" w:hAnsi="Times New Roman" w:cs="Times New Roman"/>
        <w:b/>
        <w:bCs/>
        <w:color w:val="auto"/>
        <w:sz w:val="16"/>
        <w:szCs w:val="16"/>
        <w:lang w:val="nl-NL"/>
      </w:rPr>
      <w:t>Covid</w:t>
    </w:r>
    <w:proofErr w:type="spellEnd"/>
    <w:r w:rsidRPr="003A1C0B">
      <w:rPr>
        <w:rFonts w:ascii="Times New Roman" w:hAnsi="Times New Roman" w:cs="Times New Roman"/>
        <w:b/>
        <w:bCs/>
        <w:color w:val="auto"/>
        <w:sz w:val="16"/>
        <w:szCs w:val="16"/>
        <w:lang w:val="nl-NL"/>
      </w:rPr>
      <w:t xml:space="preserve"> - 19 - Vaccine </w:t>
    </w:r>
    <w:proofErr w:type="spellStart"/>
    <w:r w:rsidRPr="003A1C0B">
      <w:rPr>
        <w:rFonts w:ascii="Times New Roman" w:hAnsi="Times New Roman" w:cs="Times New Roman"/>
        <w:b/>
        <w:bCs/>
        <w:color w:val="auto"/>
        <w:sz w:val="16"/>
        <w:szCs w:val="16"/>
        <w:lang w:val="nl-NL"/>
      </w:rPr>
      <w:t>Allergi</w:t>
    </w:r>
    <w:r w:rsidR="00EE2B22">
      <w:rPr>
        <w:rFonts w:ascii="Times New Roman" w:hAnsi="Times New Roman" w:cs="Times New Roman"/>
        <w:b/>
        <w:bCs/>
        <w:color w:val="auto"/>
        <w:sz w:val="16"/>
        <w:szCs w:val="16"/>
        <w:lang w:val="nl-NL"/>
      </w:rPr>
      <w:t>c</w:t>
    </w:r>
    <w:proofErr w:type="spellEnd"/>
    <w:r w:rsidR="00EE2B22">
      <w:rPr>
        <w:rFonts w:ascii="Times New Roman" w:hAnsi="Times New Roman" w:cs="Times New Roman"/>
        <w:b/>
        <w:bCs/>
        <w:color w:val="auto"/>
        <w:sz w:val="16"/>
        <w:szCs w:val="16"/>
        <w:lang w:val="nl-NL"/>
      </w:rPr>
      <w:t xml:space="preserve"> </w:t>
    </w:r>
    <w:proofErr w:type="spellStart"/>
    <w:r w:rsidR="00EE2B22">
      <w:rPr>
        <w:rFonts w:ascii="Times New Roman" w:hAnsi="Times New Roman" w:cs="Times New Roman"/>
        <w:b/>
        <w:bCs/>
        <w:color w:val="auto"/>
        <w:sz w:val="16"/>
        <w:szCs w:val="16"/>
        <w:lang w:val="nl-NL"/>
      </w:rPr>
      <w:t>Reactions</w:t>
    </w:r>
    <w:proofErr w:type="spellEnd"/>
    <w:r w:rsidR="00EE2B22">
      <w:rPr>
        <w:rFonts w:ascii="Times New Roman" w:hAnsi="Times New Roman" w:cs="Times New Roman"/>
        <w:b/>
        <w:bCs/>
        <w:color w:val="auto"/>
        <w:sz w:val="16"/>
        <w:szCs w:val="16"/>
        <w:lang w:val="nl-NL"/>
      </w:rPr>
      <w:tab/>
      <w:t xml:space="preserve"> </w:t>
    </w:r>
    <w:r w:rsidRPr="0074554D">
      <w:rPr>
        <w:rFonts w:ascii="Times New Roman" w:eastAsia="Calibri" w:hAnsi="Times New Roman" w:cs="Times New Roman"/>
        <w:b/>
        <w:bCs/>
        <w:color w:val="auto"/>
        <w:sz w:val="16"/>
        <w:szCs w:val="16"/>
        <w:lang w:val="nl-NL"/>
      </w:rPr>
      <w:t>Schumaker</w:t>
    </w:r>
    <w:r>
      <w:rPr>
        <w:rFonts w:ascii="Times New Roman" w:eastAsia="Calibri" w:hAnsi="Times New Roman" w:cs="Times New Roman"/>
        <w:b/>
        <w:bCs/>
        <w:color w:val="auto"/>
        <w:sz w:val="16"/>
        <w:szCs w:val="16"/>
        <w:lang w:val="nl-NL"/>
      </w:rPr>
      <w:t xml:space="preserve"> - </w:t>
    </w:r>
    <w:proofErr w:type="spellStart"/>
    <w:r w:rsidRPr="0074554D">
      <w:rPr>
        <w:rFonts w:ascii="Times New Roman" w:eastAsia="Calibri" w:hAnsi="Times New Roman" w:cs="Times New Roman"/>
        <w:b/>
        <w:bCs/>
        <w:color w:val="auto"/>
        <w:sz w:val="16"/>
        <w:szCs w:val="16"/>
        <w:lang w:val="nl-NL"/>
      </w:rPr>
      <w:t>Veronin</w:t>
    </w:r>
    <w:proofErr w:type="spellEnd"/>
    <w:r>
      <w:rPr>
        <w:rFonts w:ascii="Times New Roman" w:eastAsia="Calibri" w:hAnsi="Times New Roman" w:cs="Times New Roman"/>
        <w:b/>
        <w:bCs/>
        <w:color w:val="auto"/>
        <w:sz w:val="16"/>
        <w:szCs w:val="16"/>
        <w:lang w:val="nl-NL"/>
      </w:rPr>
      <w:t xml:space="preserve"> - </w:t>
    </w:r>
    <w:proofErr w:type="spellStart"/>
    <w:r w:rsidRPr="0074554D">
      <w:rPr>
        <w:rFonts w:ascii="Times New Roman" w:eastAsia="Calibri" w:hAnsi="Times New Roman" w:cs="Times New Roman"/>
        <w:b/>
        <w:bCs/>
        <w:color w:val="auto"/>
        <w:sz w:val="16"/>
        <w:szCs w:val="16"/>
        <w:lang w:val="nl-NL"/>
      </w:rPr>
      <w:t>Rohm</w:t>
    </w:r>
    <w:proofErr w:type="spellEnd"/>
    <w:r>
      <w:rPr>
        <w:rFonts w:ascii="Times New Roman" w:eastAsia="Calibri" w:hAnsi="Times New Roman" w:cs="Times New Roman"/>
        <w:b/>
        <w:bCs/>
        <w:color w:val="auto"/>
        <w:sz w:val="16"/>
        <w:szCs w:val="16"/>
        <w:lang w:val="nl-NL"/>
      </w:rPr>
      <w:t xml:space="preserve"> - </w:t>
    </w:r>
    <w:proofErr w:type="spellStart"/>
    <w:r w:rsidRPr="0074554D">
      <w:rPr>
        <w:rFonts w:ascii="Times New Roman" w:eastAsia="Calibri" w:hAnsi="Times New Roman" w:cs="Times New Roman"/>
        <w:b/>
        <w:bCs/>
        <w:color w:val="auto"/>
        <w:sz w:val="16"/>
        <w:szCs w:val="16"/>
        <w:lang w:val="nl-NL"/>
      </w:rPr>
      <w:t>Dixit</w:t>
    </w:r>
    <w:proofErr w:type="spellEnd"/>
    <w:r>
      <w:rPr>
        <w:rFonts w:ascii="Times New Roman" w:eastAsia="Calibri" w:hAnsi="Times New Roman" w:cs="Times New Roman"/>
        <w:b/>
        <w:bCs/>
        <w:color w:val="auto"/>
        <w:sz w:val="16"/>
        <w:szCs w:val="16"/>
        <w:lang w:val="nl-NL"/>
      </w:rPr>
      <w:t xml:space="preserve"> - </w:t>
    </w:r>
    <w:proofErr w:type="spellStart"/>
    <w:r w:rsidRPr="0074554D">
      <w:rPr>
        <w:rFonts w:ascii="Times New Roman" w:eastAsia="Calibri" w:hAnsi="Times New Roman" w:cs="Times New Roman"/>
        <w:b/>
        <w:bCs/>
        <w:color w:val="auto"/>
        <w:sz w:val="16"/>
        <w:szCs w:val="16"/>
      </w:rPr>
      <w:t>Aljawarneh</w:t>
    </w:r>
    <w:proofErr w:type="spellEnd"/>
    <w:r>
      <w:rPr>
        <w:rFonts w:ascii="Times New Roman" w:eastAsia="Calibri" w:hAnsi="Times New Roman" w:cs="Times New Roman"/>
        <w:b/>
        <w:bCs/>
        <w:color w:val="auto"/>
        <w:sz w:val="16"/>
        <w:szCs w:val="16"/>
      </w:rPr>
      <w:t xml:space="preserve"> -</w:t>
    </w:r>
    <w:r w:rsidRPr="0074554D">
      <w:rPr>
        <w:rFonts w:ascii="Times New Roman" w:eastAsia="Calibri" w:hAnsi="Times New Roman" w:cs="Times New Roman"/>
        <w:b/>
        <w:bCs/>
        <w:color w:val="auto"/>
        <w:sz w:val="16"/>
        <w:szCs w:val="16"/>
      </w:rPr>
      <w:t xml:space="preserve"> Lara</w:t>
    </w:r>
  </w:p>
  <w:p w14:paraId="67558D8C" w14:textId="4B038E54" w:rsidR="00985BDF" w:rsidRPr="003A1C0B" w:rsidRDefault="00985BDF" w:rsidP="006277C5">
    <w:pPr>
      <w:pStyle w:val="Header"/>
      <w:pBdr>
        <w:bottom w:val="single" w:sz="18" w:space="1" w:color="auto"/>
      </w:pBdr>
      <w:rPr>
        <w:rFonts w:ascii="Times New Roman" w:hAnsi="Times New Roman" w:cs="Times New Roman"/>
        <w:b/>
        <w:bCs/>
        <w:sz w:val="16"/>
        <w:szCs w:val="16"/>
        <w:lang w:val="nl-NL"/>
      </w:rPr>
    </w:pPr>
  </w:p>
  <w:p w14:paraId="663B91D0" w14:textId="77777777" w:rsidR="00985BDF" w:rsidRPr="003A1C0B" w:rsidRDefault="00985BDF">
    <w:pPr>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E039" w14:textId="4FD76826" w:rsidR="00985BDF" w:rsidRPr="006A0436" w:rsidRDefault="00985BDF" w:rsidP="005A535A">
    <w:pPr>
      <w:pStyle w:val="Header"/>
      <w:pBdr>
        <w:bottom w:val="single" w:sz="18" w:space="1" w:color="auto"/>
      </w:pBdr>
      <w:rPr>
        <w:rFonts w:ascii="Times New Roman" w:hAnsi="Times New Roman" w:cs="Times New Roman"/>
        <w:b/>
        <w:sz w:val="16"/>
        <w:szCs w:val="16"/>
      </w:rPr>
    </w:pPr>
    <w:r w:rsidRPr="006A0436">
      <w:rPr>
        <w:rFonts w:ascii="Times New Roman" w:hAnsi="Times New Roman" w:cs="Times New Roman"/>
        <w:b/>
        <w:sz w:val="16"/>
        <w:szCs w:val="16"/>
      </w:rPr>
      <w:t>International Information</w:t>
    </w:r>
    <w:r>
      <w:rPr>
        <w:rFonts w:ascii="Times New Roman" w:hAnsi="Times New Roman" w:cs="Times New Roman"/>
        <w:b/>
        <w:sz w:val="16"/>
        <w:szCs w:val="16"/>
      </w:rPr>
      <w:t xml:space="preserve"> Management Association</w:t>
    </w:r>
    <w:r>
      <w:rPr>
        <w:rFonts w:ascii="Times New Roman" w:hAnsi="Times New Roman" w:cs="Times New Roman"/>
        <w:b/>
        <w:sz w:val="16"/>
        <w:szCs w:val="16"/>
      </w:rPr>
      <w:tab/>
    </w:r>
    <w:r>
      <w:rPr>
        <w:rFonts w:ascii="Times New Roman" w:hAnsi="Times New Roman" w:cs="Times New Roman"/>
        <w:b/>
        <w:sz w:val="16"/>
        <w:szCs w:val="16"/>
      </w:rPr>
      <w:tab/>
      <w:t xml:space="preserve">Conference Proceedings 2021 </w:t>
    </w:r>
  </w:p>
  <w:p w14:paraId="7567EEA7" w14:textId="77777777" w:rsidR="00985BDF" w:rsidRPr="009B7A3C" w:rsidRDefault="00985BDF" w:rsidP="005A535A">
    <w:pPr>
      <w:pStyle w:val="Header"/>
      <w:pBdr>
        <w:bottom w:val="single" w:sz="18" w:space="1" w:color="auto"/>
      </w:pBdr>
      <w:rPr>
        <w:rFonts w:ascii="Times New Roman" w:hAnsi="Times New Roman" w:cs="Times New Roman"/>
        <w:b/>
        <w:sz w:val="16"/>
        <w:szCs w:val="16"/>
      </w:rPr>
    </w:pPr>
  </w:p>
  <w:p w14:paraId="2F3B77ED" w14:textId="77777777" w:rsidR="00985BDF" w:rsidRDefault="00985BDF" w:rsidP="00647F12">
    <w:pPr>
      <w:pStyle w:val="Header"/>
      <w:ind w:firstLine="720"/>
    </w:pPr>
  </w:p>
  <w:p w14:paraId="54FA183C" w14:textId="77777777" w:rsidR="00985BDF" w:rsidRDefault="00985B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FC87338"/>
    <w:lvl w:ilvl="0">
      <w:numFmt w:val="bullet"/>
      <w:lvlText w:val="*"/>
      <w:lvlJc w:val="left"/>
    </w:lvl>
  </w:abstractNum>
  <w:abstractNum w:abstractNumId="1" w15:restartNumberingAfterBreak="0">
    <w:nsid w:val="02134BE1"/>
    <w:multiLevelType w:val="hybridMultilevel"/>
    <w:tmpl w:val="6D105A1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C46BAB"/>
    <w:multiLevelType w:val="hybridMultilevel"/>
    <w:tmpl w:val="9DE84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670E4C"/>
    <w:multiLevelType w:val="multilevel"/>
    <w:tmpl w:val="6A8612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98D04F4"/>
    <w:multiLevelType w:val="hybridMultilevel"/>
    <w:tmpl w:val="7F72D1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E3656DA"/>
    <w:multiLevelType w:val="hybridMultilevel"/>
    <w:tmpl w:val="A07AE5AC"/>
    <w:lvl w:ilvl="0" w:tplc="2000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8D777E"/>
    <w:multiLevelType w:val="hybridMultilevel"/>
    <w:tmpl w:val="CBBEDAEA"/>
    <w:lvl w:ilvl="0" w:tplc="D9A4E80E">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72A984">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CE5312">
      <w:start w:val="1"/>
      <w:numFmt w:val="lowerRoman"/>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E0C2E">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187CB2">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72CED4">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0EA414">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905776">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A267E6">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65455F"/>
    <w:multiLevelType w:val="hybridMultilevel"/>
    <w:tmpl w:val="B630E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76D1C"/>
    <w:multiLevelType w:val="hybridMultilevel"/>
    <w:tmpl w:val="3E7CADB8"/>
    <w:lvl w:ilvl="0" w:tplc="DF7E8706">
      <w:start w:val="1"/>
      <w:numFmt w:val="lowerLetter"/>
      <w:lvlText w:val="%1)"/>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62E4F4">
      <w:start w:val="1"/>
      <w:numFmt w:val="lowerLetter"/>
      <w:lvlText w:val="%2"/>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AC9624">
      <w:start w:val="1"/>
      <w:numFmt w:val="lowerRoman"/>
      <w:lvlText w:val="%3"/>
      <w:lvlJc w:val="left"/>
      <w:pPr>
        <w:ind w:left="2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6A3CA4">
      <w:start w:val="1"/>
      <w:numFmt w:val="decimal"/>
      <w:lvlText w:val="%4"/>
      <w:lvlJc w:val="left"/>
      <w:pPr>
        <w:ind w:left="2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84A9C">
      <w:start w:val="1"/>
      <w:numFmt w:val="lowerLetter"/>
      <w:lvlText w:val="%5"/>
      <w:lvlJc w:val="left"/>
      <w:pPr>
        <w:ind w:left="3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8041CE">
      <w:start w:val="1"/>
      <w:numFmt w:val="lowerRoman"/>
      <w:lvlText w:val="%6"/>
      <w:lvlJc w:val="left"/>
      <w:pPr>
        <w:ind w:left="4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761D98">
      <w:start w:val="1"/>
      <w:numFmt w:val="decimal"/>
      <w:lvlText w:val="%7"/>
      <w:lvlJc w:val="left"/>
      <w:pPr>
        <w:ind w:left="4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5A4654">
      <w:start w:val="1"/>
      <w:numFmt w:val="lowerLetter"/>
      <w:lvlText w:val="%8"/>
      <w:lvlJc w:val="left"/>
      <w:pPr>
        <w:ind w:left="5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8AFF42">
      <w:start w:val="1"/>
      <w:numFmt w:val="lowerRoman"/>
      <w:lvlText w:val="%9"/>
      <w:lvlJc w:val="left"/>
      <w:pPr>
        <w:ind w:left="6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CF2B17"/>
    <w:multiLevelType w:val="multilevel"/>
    <w:tmpl w:val="92BA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141F1"/>
    <w:multiLevelType w:val="hybridMultilevel"/>
    <w:tmpl w:val="ED407146"/>
    <w:lvl w:ilvl="0" w:tplc="EA963A40">
      <w:start w:val="1"/>
      <w:numFmt w:val="bullet"/>
      <w:lvlText w:val=""/>
      <w:lvlJc w:val="left"/>
      <w:pPr>
        <w:tabs>
          <w:tab w:val="num" w:pos="720"/>
        </w:tabs>
        <w:ind w:left="720" w:hanging="360"/>
      </w:pPr>
      <w:rPr>
        <w:rFonts w:ascii="Wingdings 2" w:hAnsi="Wingdings 2" w:hint="default"/>
      </w:rPr>
    </w:lvl>
    <w:lvl w:ilvl="1" w:tplc="1B10B4B4" w:tentative="1">
      <w:start w:val="1"/>
      <w:numFmt w:val="bullet"/>
      <w:lvlText w:val=""/>
      <w:lvlJc w:val="left"/>
      <w:pPr>
        <w:tabs>
          <w:tab w:val="num" w:pos="1440"/>
        </w:tabs>
        <w:ind w:left="1440" w:hanging="360"/>
      </w:pPr>
      <w:rPr>
        <w:rFonts w:ascii="Wingdings 2" w:hAnsi="Wingdings 2" w:hint="default"/>
      </w:rPr>
    </w:lvl>
    <w:lvl w:ilvl="2" w:tplc="ED4C0E24" w:tentative="1">
      <w:start w:val="1"/>
      <w:numFmt w:val="bullet"/>
      <w:lvlText w:val=""/>
      <w:lvlJc w:val="left"/>
      <w:pPr>
        <w:tabs>
          <w:tab w:val="num" w:pos="2160"/>
        </w:tabs>
        <w:ind w:left="2160" w:hanging="360"/>
      </w:pPr>
      <w:rPr>
        <w:rFonts w:ascii="Wingdings 2" w:hAnsi="Wingdings 2" w:hint="default"/>
      </w:rPr>
    </w:lvl>
    <w:lvl w:ilvl="3" w:tplc="FD1CE75C" w:tentative="1">
      <w:start w:val="1"/>
      <w:numFmt w:val="bullet"/>
      <w:lvlText w:val=""/>
      <w:lvlJc w:val="left"/>
      <w:pPr>
        <w:tabs>
          <w:tab w:val="num" w:pos="2880"/>
        </w:tabs>
        <w:ind w:left="2880" w:hanging="360"/>
      </w:pPr>
      <w:rPr>
        <w:rFonts w:ascii="Wingdings 2" w:hAnsi="Wingdings 2" w:hint="default"/>
      </w:rPr>
    </w:lvl>
    <w:lvl w:ilvl="4" w:tplc="73B2D476" w:tentative="1">
      <w:start w:val="1"/>
      <w:numFmt w:val="bullet"/>
      <w:lvlText w:val=""/>
      <w:lvlJc w:val="left"/>
      <w:pPr>
        <w:tabs>
          <w:tab w:val="num" w:pos="3600"/>
        </w:tabs>
        <w:ind w:left="3600" w:hanging="360"/>
      </w:pPr>
      <w:rPr>
        <w:rFonts w:ascii="Wingdings 2" w:hAnsi="Wingdings 2" w:hint="default"/>
      </w:rPr>
    </w:lvl>
    <w:lvl w:ilvl="5" w:tplc="65C6CBDC" w:tentative="1">
      <w:start w:val="1"/>
      <w:numFmt w:val="bullet"/>
      <w:lvlText w:val=""/>
      <w:lvlJc w:val="left"/>
      <w:pPr>
        <w:tabs>
          <w:tab w:val="num" w:pos="4320"/>
        </w:tabs>
        <w:ind w:left="4320" w:hanging="360"/>
      </w:pPr>
      <w:rPr>
        <w:rFonts w:ascii="Wingdings 2" w:hAnsi="Wingdings 2" w:hint="default"/>
      </w:rPr>
    </w:lvl>
    <w:lvl w:ilvl="6" w:tplc="6E3A2EFA" w:tentative="1">
      <w:start w:val="1"/>
      <w:numFmt w:val="bullet"/>
      <w:lvlText w:val=""/>
      <w:lvlJc w:val="left"/>
      <w:pPr>
        <w:tabs>
          <w:tab w:val="num" w:pos="5040"/>
        </w:tabs>
        <w:ind w:left="5040" w:hanging="360"/>
      </w:pPr>
      <w:rPr>
        <w:rFonts w:ascii="Wingdings 2" w:hAnsi="Wingdings 2" w:hint="default"/>
      </w:rPr>
    </w:lvl>
    <w:lvl w:ilvl="7" w:tplc="BA26B3B8" w:tentative="1">
      <w:start w:val="1"/>
      <w:numFmt w:val="bullet"/>
      <w:lvlText w:val=""/>
      <w:lvlJc w:val="left"/>
      <w:pPr>
        <w:tabs>
          <w:tab w:val="num" w:pos="5760"/>
        </w:tabs>
        <w:ind w:left="5760" w:hanging="360"/>
      </w:pPr>
      <w:rPr>
        <w:rFonts w:ascii="Wingdings 2" w:hAnsi="Wingdings 2" w:hint="default"/>
      </w:rPr>
    </w:lvl>
    <w:lvl w:ilvl="8" w:tplc="2BF8465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D1670D4"/>
    <w:multiLevelType w:val="hybridMultilevel"/>
    <w:tmpl w:val="6C927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9A56F5"/>
    <w:multiLevelType w:val="hybridMultilevel"/>
    <w:tmpl w:val="56E03D36"/>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35912EA"/>
    <w:multiLevelType w:val="multilevel"/>
    <w:tmpl w:val="478AD8E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5426B77"/>
    <w:multiLevelType w:val="hybridMultilevel"/>
    <w:tmpl w:val="9D9A8590"/>
    <w:lvl w:ilvl="0" w:tplc="EB5A8CB0">
      <w:start w:val="14"/>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43332"/>
    <w:multiLevelType w:val="hybridMultilevel"/>
    <w:tmpl w:val="6E449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47868"/>
    <w:multiLevelType w:val="hybridMultilevel"/>
    <w:tmpl w:val="450407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6673B3"/>
    <w:multiLevelType w:val="hybridMultilevel"/>
    <w:tmpl w:val="BA38951E"/>
    <w:lvl w:ilvl="0" w:tplc="19CC131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7E5F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446D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0868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E8E4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1081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F0FE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F494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0434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D03571A"/>
    <w:multiLevelType w:val="hybridMultilevel"/>
    <w:tmpl w:val="C486D8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00B247B"/>
    <w:multiLevelType w:val="hybridMultilevel"/>
    <w:tmpl w:val="68F6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3264E"/>
    <w:multiLevelType w:val="hybridMultilevel"/>
    <w:tmpl w:val="6AE080C6"/>
    <w:lvl w:ilvl="0" w:tplc="91B65E90">
      <w:start w:val="1"/>
      <w:numFmt w:val="bullet"/>
      <w:lvlText w:val=""/>
      <w:lvlJc w:val="left"/>
      <w:pPr>
        <w:tabs>
          <w:tab w:val="num" w:pos="720"/>
        </w:tabs>
        <w:ind w:left="720" w:hanging="360"/>
      </w:pPr>
      <w:rPr>
        <w:rFonts w:ascii="Wingdings 2" w:hAnsi="Wingdings 2" w:hint="default"/>
      </w:rPr>
    </w:lvl>
    <w:lvl w:ilvl="1" w:tplc="4012869A" w:tentative="1">
      <w:start w:val="1"/>
      <w:numFmt w:val="bullet"/>
      <w:lvlText w:val=""/>
      <w:lvlJc w:val="left"/>
      <w:pPr>
        <w:tabs>
          <w:tab w:val="num" w:pos="1440"/>
        </w:tabs>
        <w:ind w:left="1440" w:hanging="360"/>
      </w:pPr>
      <w:rPr>
        <w:rFonts w:ascii="Wingdings 2" w:hAnsi="Wingdings 2" w:hint="default"/>
      </w:rPr>
    </w:lvl>
    <w:lvl w:ilvl="2" w:tplc="619882A6" w:tentative="1">
      <w:start w:val="1"/>
      <w:numFmt w:val="bullet"/>
      <w:lvlText w:val=""/>
      <w:lvlJc w:val="left"/>
      <w:pPr>
        <w:tabs>
          <w:tab w:val="num" w:pos="2160"/>
        </w:tabs>
        <w:ind w:left="2160" w:hanging="360"/>
      </w:pPr>
      <w:rPr>
        <w:rFonts w:ascii="Wingdings 2" w:hAnsi="Wingdings 2" w:hint="default"/>
      </w:rPr>
    </w:lvl>
    <w:lvl w:ilvl="3" w:tplc="8358594E" w:tentative="1">
      <w:start w:val="1"/>
      <w:numFmt w:val="bullet"/>
      <w:lvlText w:val=""/>
      <w:lvlJc w:val="left"/>
      <w:pPr>
        <w:tabs>
          <w:tab w:val="num" w:pos="2880"/>
        </w:tabs>
        <w:ind w:left="2880" w:hanging="360"/>
      </w:pPr>
      <w:rPr>
        <w:rFonts w:ascii="Wingdings 2" w:hAnsi="Wingdings 2" w:hint="default"/>
      </w:rPr>
    </w:lvl>
    <w:lvl w:ilvl="4" w:tplc="6F1AC2EC" w:tentative="1">
      <w:start w:val="1"/>
      <w:numFmt w:val="bullet"/>
      <w:lvlText w:val=""/>
      <w:lvlJc w:val="left"/>
      <w:pPr>
        <w:tabs>
          <w:tab w:val="num" w:pos="3600"/>
        </w:tabs>
        <w:ind w:left="3600" w:hanging="360"/>
      </w:pPr>
      <w:rPr>
        <w:rFonts w:ascii="Wingdings 2" w:hAnsi="Wingdings 2" w:hint="default"/>
      </w:rPr>
    </w:lvl>
    <w:lvl w:ilvl="5" w:tplc="60E6B39E" w:tentative="1">
      <w:start w:val="1"/>
      <w:numFmt w:val="bullet"/>
      <w:lvlText w:val=""/>
      <w:lvlJc w:val="left"/>
      <w:pPr>
        <w:tabs>
          <w:tab w:val="num" w:pos="4320"/>
        </w:tabs>
        <w:ind w:left="4320" w:hanging="360"/>
      </w:pPr>
      <w:rPr>
        <w:rFonts w:ascii="Wingdings 2" w:hAnsi="Wingdings 2" w:hint="default"/>
      </w:rPr>
    </w:lvl>
    <w:lvl w:ilvl="6" w:tplc="3F04CD6E" w:tentative="1">
      <w:start w:val="1"/>
      <w:numFmt w:val="bullet"/>
      <w:lvlText w:val=""/>
      <w:lvlJc w:val="left"/>
      <w:pPr>
        <w:tabs>
          <w:tab w:val="num" w:pos="5040"/>
        </w:tabs>
        <w:ind w:left="5040" w:hanging="360"/>
      </w:pPr>
      <w:rPr>
        <w:rFonts w:ascii="Wingdings 2" w:hAnsi="Wingdings 2" w:hint="default"/>
      </w:rPr>
    </w:lvl>
    <w:lvl w:ilvl="7" w:tplc="7CD46EA6" w:tentative="1">
      <w:start w:val="1"/>
      <w:numFmt w:val="bullet"/>
      <w:lvlText w:val=""/>
      <w:lvlJc w:val="left"/>
      <w:pPr>
        <w:tabs>
          <w:tab w:val="num" w:pos="5760"/>
        </w:tabs>
        <w:ind w:left="5760" w:hanging="360"/>
      </w:pPr>
      <w:rPr>
        <w:rFonts w:ascii="Wingdings 2" w:hAnsi="Wingdings 2" w:hint="default"/>
      </w:rPr>
    </w:lvl>
    <w:lvl w:ilvl="8" w:tplc="3DA65B6C"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4BA41853"/>
    <w:multiLevelType w:val="hybridMultilevel"/>
    <w:tmpl w:val="CB204510"/>
    <w:lvl w:ilvl="0" w:tplc="C8282470">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D6C6831"/>
    <w:multiLevelType w:val="hybridMultilevel"/>
    <w:tmpl w:val="2DDEFB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723C7C"/>
    <w:multiLevelType w:val="hybridMultilevel"/>
    <w:tmpl w:val="3E885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95067F"/>
    <w:multiLevelType w:val="hybridMultilevel"/>
    <w:tmpl w:val="DE90C1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A0B1BC4"/>
    <w:multiLevelType w:val="hybridMultilevel"/>
    <w:tmpl w:val="C9E6F4F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B336C86"/>
    <w:multiLevelType w:val="hybridMultilevel"/>
    <w:tmpl w:val="7C7660C6"/>
    <w:lvl w:ilvl="0" w:tplc="9D123D20">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59062A"/>
    <w:multiLevelType w:val="multilevel"/>
    <w:tmpl w:val="FD007D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32D0090"/>
    <w:multiLevelType w:val="multilevel"/>
    <w:tmpl w:val="A156D6F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9" w15:restartNumberingAfterBreak="0">
    <w:nsid w:val="68A301AB"/>
    <w:multiLevelType w:val="hybridMultilevel"/>
    <w:tmpl w:val="1EE6E58C"/>
    <w:lvl w:ilvl="0" w:tplc="A6463B08">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B0F78E5"/>
    <w:multiLevelType w:val="hybridMultilevel"/>
    <w:tmpl w:val="3D6CA3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D756D0"/>
    <w:multiLevelType w:val="hybridMultilevel"/>
    <w:tmpl w:val="7EE6B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C246D"/>
    <w:multiLevelType w:val="multilevel"/>
    <w:tmpl w:val="3BD24D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510B1B"/>
    <w:multiLevelType w:val="hybridMultilevel"/>
    <w:tmpl w:val="3740FC58"/>
    <w:lvl w:ilvl="0" w:tplc="F2ECE344">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22"/>
  </w:num>
  <w:num w:numId="3">
    <w:abstractNumId w:val="32"/>
  </w:num>
  <w:num w:numId="4">
    <w:abstractNumId w:val="9"/>
  </w:num>
  <w:num w:numId="5">
    <w:abstractNumId w:val="15"/>
  </w:num>
  <w:num w:numId="6">
    <w:abstractNumId w:val="14"/>
  </w:num>
  <w:num w:numId="7">
    <w:abstractNumId w:val="26"/>
  </w:num>
  <w:num w:numId="8">
    <w:abstractNumId w:val="27"/>
  </w:num>
  <w:num w:numId="9">
    <w:abstractNumId w:val="16"/>
  </w:num>
  <w:num w:numId="10">
    <w:abstractNumId w:val="23"/>
  </w:num>
  <w:num w:numId="11">
    <w:abstractNumId w:val="20"/>
  </w:num>
  <w:num w:numId="12">
    <w:abstractNumId w:val="10"/>
  </w:num>
  <w:num w:numId="13">
    <w:abstractNumId w:val="31"/>
  </w:num>
  <w:num w:numId="14">
    <w:abstractNumId w:val="1"/>
  </w:num>
  <w:num w:numId="15">
    <w:abstractNumId w:val="12"/>
  </w:num>
  <w:num w:numId="16">
    <w:abstractNumId w:val="2"/>
  </w:num>
  <w:num w:numId="17">
    <w:abstractNumId w:val="4"/>
  </w:num>
  <w:num w:numId="18">
    <w:abstractNumId w:val="28"/>
  </w:num>
  <w:num w:numId="19">
    <w:abstractNumId w:val="13"/>
  </w:num>
  <w:num w:numId="20">
    <w:abstractNumId w:val="30"/>
  </w:num>
  <w:num w:numId="21">
    <w:abstractNumId w:val="7"/>
  </w:num>
  <w:num w:numId="22">
    <w:abstractNumId w:val="29"/>
  </w:num>
  <w:num w:numId="23">
    <w:abstractNumId w:val="18"/>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21"/>
  </w:num>
  <w:num w:numId="26">
    <w:abstractNumId w:val="5"/>
  </w:num>
  <w:num w:numId="27">
    <w:abstractNumId w:val="19"/>
  </w:num>
  <w:num w:numId="28">
    <w:abstractNumId w:val="25"/>
  </w:num>
  <w:num w:numId="29">
    <w:abstractNumId w:val="24"/>
  </w:num>
  <w:num w:numId="30">
    <w:abstractNumId w:val="11"/>
  </w:num>
  <w:num w:numId="31">
    <w:abstractNumId w:val="17"/>
  </w:num>
  <w:num w:numId="32">
    <w:abstractNumId w:val="8"/>
  </w:num>
  <w:num w:numId="33">
    <w:abstractNumId w:val="6"/>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74E"/>
    <w:rsid w:val="00000C9A"/>
    <w:rsid w:val="00001A8E"/>
    <w:rsid w:val="00003705"/>
    <w:rsid w:val="00003DE3"/>
    <w:rsid w:val="000067F7"/>
    <w:rsid w:val="00015CE1"/>
    <w:rsid w:val="00021630"/>
    <w:rsid w:val="00022627"/>
    <w:rsid w:val="00024CFE"/>
    <w:rsid w:val="000267C5"/>
    <w:rsid w:val="00026E41"/>
    <w:rsid w:val="0003133C"/>
    <w:rsid w:val="00031C6B"/>
    <w:rsid w:val="0004703A"/>
    <w:rsid w:val="000514D7"/>
    <w:rsid w:val="00052745"/>
    <w:rsid w:val="00053FA0"/>
    <w:rsid w:val="00054333"/>
    <w:rsid w:val="00066508"/>
    <w:rsid w:val="00066744"/>
    <w:rsid w:val="00071293"/>
    <w:rsid w:val="00080917"/>
    <w:rsid w:val="00081B51"/>
    <w:rsid w:val="000848BD"/>
    <w:rsid w:val="00090B58"/>
    <w:rsid w:val="00093572"/>
    <w:rsid w:val="00096D0F"/>
    <w:rsid w:val="00096EF7"/>
    <w:rsid w:val="00096F80"/>
    <w:rsid w:val="000A3730"/>
    <w:rsid w:val="000A3C74"/>
    <w:rsid w:val="000B1E28"/>
    <w:rsid w:val="000C2A1D"/>
    <w:rsid w:val="000C3787"/>
    <w:rsid w:val="000D0305"/>
    <w:rsid w:val="000D77C8"/>
    <w:rsid w:val="000E34A2"/>
    <w:rsid w:val="000E3D8D"/>
    <w:rsid w:val="000F3D40"/>
    <w:rsid w:val="000F5377"/>
    <w:rsid w:val="00100BA3"/>
    <w:rsid w:val="0010238D"/>
    <w:rsid w:val="0011397F"/>
    <w:rsid w:val="00124AA8"/>
    <w:rsid w:val="001319A7"/>
    <w:rsid w:val="0013509D"/>
    <w:rsid w:val="00142FED"/>
    <w:rsid w:val="001434DB"/>
    <w:rsid w:val="00143896"/>
    <w:rsid w:val="00143A79"/>
    <w:rsid w:val="00145229"/>
    <w:rsid w:val="00154919"/>
    <w:rsid w:val="00154D3B"/>
    <w:rsid w:val="00162741"/>
    <w:rsid w:val="00165F34"/>
    <w:rsid w:val="00173792"/>
    <w:rsid w:val="00181613"/>
    <w:rsid w:val="00182256"/>
    <w:rsid w:val="00184A12"/>
    <w:rsid w:val="00187C69"/>
    <w:rsid w:val="001A25B1"/>
    <w:rsid w:val="001A470A"/>
    <w:rsid w:val="001B1162"/>
    <w:rsid w:val="001B3E9A"/>
    <w:rsid w:val="001D6269"/>
    <w:rsid w:val="001E6900"/>
    <w:rsid w:val="001F0BEF"/>
    <w:rsid w:val="001F0C52"/>
    <w:rsid w:val="001F2FD0"/>
    <w:rsid w:val="001F6D24"/>
    <w:rsid w:val="0020282D"/>
    <w:rsid w:val="002059F6"/>
    <w:rsid w:val="00210614"/>
    <w:rsid w:val="00212F65"/>
    <w:rsid w:val="0022044F"/>
    <w:rsid w:val="002508EE"/>
    <w:rsid w:val="00253449"/>
    <w:rsid w:val="002544AB"/>
    <w:rsid w:val="00254C02"/>
    <w:rsid w:val="0025512E"/>
    <w:rsid w:val="00256C06"/>
    <w:rsid w:val="00270D72"/>
    <w:rsid w:val="00280E8F"/>
    <w:rsid w:val="00283CF1"/>
    <w:rsid w:val="00283D77"/>
    <w:rsid w:val="0029411D"/>
    <w:rsid w:val="002A0CAE"/>
    <w:rsid w:val="002A4B9C"/>
    <w:rsid w:val="002B3324"/>
    <w:rsid w:val="002B7272"/>
    <w:rsid w:val="002C39C7"/>
    <w:rsid w:val="002D558D"/>
    <w:rsid w:val="002D7978"/>
    <w:rsid w:val="002E4B3B"/>
    <w:rsid w:val="002F343C"/>
    <w:rsid w:val="002F5000"/>
    <w:rsid w:val="00320311"/>
    <w:rsid w:val="00320CEF"/>
    <w:rsid w:val="003219B9"/>
    <w:rsid w:val="00332AC4"/>
    <w:rsid w:val="003405BD"/>
    <w:rsid w:val="0034599D"/>
    <w:rsid w:val="00346E5C"/>
    <w:rsid w:val="0034727A"/>
    <w:rsid w:val="0035181C"/>
    <w:rsid w:val="003619E9"/>
    <w:rsid w:val="00362FFE"/>
    <w:rsid w:val="003662E8"/>
    <w:rsid w:val="00366924"/>
    <w:rsid w:val="00366C96"/>
    <w:rsid w:val="00377474"/>
    <w:rsid w:val="003826E4"/>
    <w:rsid w:val="00394305"/>
    <w:rsid w:val="003943EF"/>
    <w:rsid w:val="003A1C0B"/>
    <w:rsid w:val="003B1E0A"/>
    <w:rsid w:val="003D4643"/>
    <w:rsid w:val="0040135E"/>
    <w:rsid w:val="00401EA5"/>
    <w:rsid w:val="00402ECF"/>
    <w:rsid w:val="004065E2"/>
    <w:rsid w:val="0041307D"/>
    <w:rsid w:val="00417394"/>
    <w:rsid w:val="00420450"/>
    <w:rsid w:val="004215DA"/>
    <w:rsid w:val="00421922"/>
    <w:rsid w:val="00423DC2"/>
    <w:rsid w:val="0042702C"/>
    <w:rsid w:val="00427BAA"/>
    <w:rsid w:val="00430AE7"/>
    <w:rsid w:val="00432025"/>
    <w:rsid w:val="00437A48"/>
    <w:rsid w:val="0044484A"/>
    <w:rsid w:val="00447147"/>
    <w:rsid w:val="00447E25"/>
    <w:rsid w:val="004543FC"/>
    <w:rsid w:val="004574E8"/>
    <w:rsid w:val="0046284C"/>
    <w:rsid w:val="0047577A"/>
    <w:rsid w:val="004843F9"/>
    <w:rsid w:val="004915BD"/>
    <w:rsid w:val="004966ED"/>
    <w:rsid w:val="004A4011"/>
    <w:rsid w:val="004B3B37"/>
    <w:rsid w:val="004B52F7"/>
    <w:rsid w:val="004C0AB2"/>
    <w:rsid w:val="004C3E48"/>
    <w:rsid w:val="004C3FE6"/>
    <w:rsid w:val="004D008F"/>
    <w:rsid w:val="004D1924"/>
    <w:rsid w:val="004D3C6B"/>
    <w:rsid w:val="004D55D8"/>
    <w:rsid w:val="004E130D"/>
    <w:rsid w:val="004E1F13"/>
    <w:rsid w:val="004E44E0"/>
    <w:rsid w:val="004E7E86"/>
    <w:rsid w:val="004F01CC"/>
    <w:rsid w:val="004F1A1F"/>
    <w:rsid w:val="004F3463"/>
    <w:rsid w:val="004F4570"/>
    <w:rsid w:val="00502AE3"/>
    <w:rsid w:val="005031A3"/>
    <w:rsid w:val="0050428C"/>
    <w:rsid w:val="00504E75"/>
    <w:rsid w:val="005163D3"/>
    <w:rsid w:val="005318C0"/>
    <w:rsid w:val="005318D2"/>
    <w:rsid w:val="00540E08"/>
    <w:rsid w:val="00541CC9"/>
    <w:rsid w:val="005510BD"/>
    <w:rsid w:val="00552542"/>
    <w:rsid w:val="0055537F"/>
    <w:rsid w:val="005600FD"/>
    <w:rsid w:val="0056378F"/>
    <w:rsid w:val="00565D54"/>
    <w:rsid w:val="00577C8B"/>
    <w:rsid w:val="005818B2"/>
    <w:rsid w:val="00581962"/>
    <w:rsid w:val="0059072B"/>
    <w:rsid w:val="00597D01"/>
    <w:rsid w:val="005A0515"/>
    <w:rsid w:val="005A535A"/>
    <w:rsid w:val="005B0B09"/>
    <w:rsid w:val="005B37C0"/>
    <w:rsid w:val="005B483C"/>
    <w:rsid w:val="005D12BE"/>
    <w:rsid w:val="005E14BA"/>
    <w:rsid w:val="005E6428"/>
    <w:rsid w:val="005E680B"/>
    <w:rsid w:val="005F1675"/>
    <w:rsid w:val="005F67DD"/>
    <w:rsid w:val="006005CB"/>
    <w:rsid w:val="00602F20"/>
    <w:rsid w:val="00613E61"/>
    <w:rsid w:val="00625E13"/>
    <w:rsid w:val="006270C9"/>
    <w:rsid w:val="006277C5"/>
    <w:rsid w:val="00627F02"/>
    <w:rsid w:val="00631D8C"/>
    <w:rsid w:val="0064368B"/>
    <w:rsid w:val="00644C27"/>
    <w:rsid w:val="00647F12"/>
    <w:rsid w:val="0065067B"/>
    <w:rsid w:val="00652E30"/>
    <w:rsid w:val="006542E7"/>
    <w:rsid w:val="00655A3C"/>
    <w:rsid w:val="006562CA"/>
    <w:rsid w:val="00656D6B"/>
    <w:rsid w:val="006639F6"/>
    <w:rsid w:val="00693D33"/>
    <w:rsid w:val="006A0436"/>
    <w:rsid w:val="006A2993"/>
    <w:rsid w:val="006B3A86"/>
    <w:rsid w:val="006C541E"/>
    <w:rsid w:val="006C7177"/>
    <w:rsid w:val="006D081A"/>
    <w:rsid w:val="006D3AE4"/>
    <w:rsid w:val="006D47FF"/>
    <w:rsid w:val="006D559C"/>
    <w:rsid w:val="006D5D67"/>
    <w:rsid w:val="006D77CF"/>
    <w:rsid w:val="006E3D30"/>
    <w:rsid w:val="006E59A9"/>
    <w:rsid w:val="006E6DB8"/>
    <w:rsid w:val="006E792B"/>
    <w:rsid w:val="006F0717"/>
    <w:rsid w:val="006F147C"/>
    <w:rsid w:val="006F39EE"/>
    <w:rsid w:val="006F61F4"/>
    <w:rsid w:val="007015F5"/>
    <w:rsid w:val="0070246E"/>
    <w:rsid w:val="00702896"/>
    <w:rsid w:val="00703F39"/>
    <w:rsid w:val="00710FF8"/>
    <w:rsid w:val="0071315C"/>
    <w:rsid w:val="00715D33"/>
    <w:rsid w:val="007177D3"/>
    <w:rsid w:val="007303DD"/>
    <w:rsid w:val="00730772"/>
    <w:rsid w:val="00731296"/>
    <w:rsid w:val="007363E2"/>
    <w:rsid w:val="0073644B"/>
    <w:rsid w:val="0074554D"/>
    <w:rsid w:val="00751D94"/>
    <w:rsid w:val="00765041"/>
    <w:rsid w:val="00770906"/>
    <w:rsid w:val="0077236B"/>
    <w:rsid w:val="007B2E05"/>
    <w:rsid w:val="007B401F"/>
    <w:rsid w:val="007C157D"/>
    <w:rsid w:val="007C7675"/>
    <w:rsid w:val="007D599A"/>
    <w:rsid w:val="007D7037"/>
    <w:rsid w:val="007D7FB2"/>
    <w:rsid w:val="007E2BAC"/>
    <w:rsid w:val="007E3B41"/>
    <w:rsid w:val="007E7EB7"/>
    <w:rsid w:val="007F4CEE"/>
    <w:rsid w:val="008022AF"/>
    <w:rsid w:val="008065DC"/>
    <w:rsid w:val="00817982"/>
    <w:rsid w:val="008235F0"/>
    <w:rsid w:val="008315C1"/>
    <w:rsid w:val="00833B95"/>
    <w:rsid w:val="008347A6"/>
    <w:rsid w:val="008377A9"/>
    <w:rsid w:val="00837E8D"/>
    <w:rsid w:val="008402BB"/>
    <w:rsid w:val="00840D5A"/>
    <w:rsid w:val="00842225"/>
    <w:rsid w:val="00851B80"/>
    <w:rsid w:val="00856B99"/>
    <w:rsid w:val="00862E9C"/>
    <w:rsid w:val="00873DB3"/>
    <w:rsid w:val="00874328"/>
    <w:rsid w:val="00877979"/>
    <w:rsid w:val="0088119B"/>
    <w:rsid w:val="00890BF1"/>
    <w:rsid w:val="008920C6"/>
    <w:rsid w:val="008925F3"/>
    <w:rsid w:val="00897195"/>
    <w:rsid w:val="008C2BF6"/>
    <w:rsid w:val="008C3A21"/>
    <w:rsid w:val="008C772C"/>
    <w:rsid w:val="008D3B66"/>
    <w:rsid w:val="008D3E6A"/>
    <w:rsid w:val="008D4866"/>
    <w:rsid w:val="008D6D88"/>
    <w:rsid w:val="008D7000"/>
    <w:rsid w:val="008E1519"/>
    <w:rsid w:val="008E3B2F"/>
    <w:rsid w:val="008E4110"/>
    <w:rsid w:val="008F4240"/>
    <w:rsid w:val="008F55A8"/>
    <w:rsid w:val="00903C94"/>
    <w:rsid w:val="009046EA"/>
    <w:rsid w:val="00911A93"/>
    <w:rsid w:val="009167EE"/>
    <w:rsid w:val="00923239"/>
    <w:rsid w:val="0093258F"/>
    <w:rsid w:val="009376EE"/>
    <w:rsid w:val="00956D89"/>
    <w:rsid w:val="00966F1D"/>
    <w:rsid w:val="00970A25"/>
    <w:rsid w:val="00974F4A"/>
    <w:rsid w:val="00985BDF"/>
    <w:rsid w:val="00990078"/>
    <w:rsid w:val="00993272"/>
    <w:rsid w:val="009A092F"/>
    <w:rsid w:val="009B7402"/>
    <w:rsid w:val="009B7A3C"/>
    <w:rsid w:val="009C0628"/>
    <w:rsid w:val="009C21EE"/>
    <w:rsid w:val="009C4C4D"/>
    <w:rsid w:val="009E074E"/>
    <w:rsid w:val="009E6F2E"/>
    <w:rsid w:val="009F0C50"/>
    <w:rsid w:val="009F0C5A"/>
    <w:rsid w:val="009F2BB5"/>
    <w:rsid w:val="00A04C87"/>
    <w:rsid w:val="00A112C6"/>
    <w:rsid w:val="00A13657"/>
    <w:rsid w:val="00A15484"/>
    <w:rsid w:val="00A16C5E"/>
    <w:rsid w:val="00A16E94"/>
    <w:rsid w:val="00A22E15"/>
    <w:rsid w:val="00A34E61"/>
    <w:rsid w:val="00A37617"/>
    <w:rsid w:val="00A56356"/>
    <w:rsid w:val="00A66E12"/>
    <w:rsid w:val="00A70FD1"/>
    <w:rsid w:val="00A75B5E"/>
    <w:rsid w:val="00A771AE"/>
    <w:rsid w:val="00A87226"/>
    <w:rsid w:val="00A87758"/>
    <w:rsid w:val="00A9533E"/>
    <w:rsid w:val="00A97B46"/>
    <w:rsid w:val="00AA3089"/>
    <w:rsid w:val="00AB2A40"/>
    <w:rsid w:val="00AB5779"/>
    <w:rsid w:val="00AC219B"/>
    <w:rsid w:val="00AD2FF4"/>
    <w:rsid w:val="00AD3DC4"/>
    <w:rsid w:val="00AD5F84"/>
    <w:rsid w:val="00AE2411"/>
    <w:rsid w:val="00AE4C7E"/>
    <w:rsid w:val="00AF0FE9"/>
    <w:rsid w:val="00AF4323"/>
    <w:rsid w:val="00B0503A"/>
    <w:rsid w:val="00B05F6C"/>
    <w:rsid w:val="00B07206"/>
    <w:rsid w:val="00B12F23"/>
    <w:rsid w:val="00B15448"/>
    <w:rsid w:val="00B15DA6"/>
    <w:rsid w:val="00B16DC4"/>
    <w:rsid w:val="00B1712D"/>
    <w:rsid w:val="00B22C3C"/>
    <w:rsid w:val="00B25BCC"/>
    <w:rsid w:val="00B300CD"/>
    <w:rsid w:val="00B3418F"/>
    <w:rsid w:val="00B355B0"/>
    <w:rsid w:val="00B43CDC"/>
    <w:rsid w:val="00B45136"/>
    <w:rsid w:val="00B474DA"/>
    <w:rsid w:val="00B520A0"/>
    <w:rsid w:val="00B565CF"/>
    <w:rsid w:val="00B64B72"/>
    <w:rsid w:val="00B67F0D"/>
    <w:rsid w:val="00B70CAE"/>
    <w:rsid w:val="00B71849"/>
    <w:rsid w:val="00B802DA"/>
    <w:rsid w:val="00B83687"/>
    <w:rsid w:val="00B83E6B"/>
    <w:rsid w:val="00B87876"/>
    <w:rsid w:val="00B92D2C"/>
    <w:rsid w:val="00B947A6"/>
    <w:rsid w:val="00B950E0"/>
    <w:rsid w:val="00BA6CAB"/>
    <w:rsid w:val="00BA7DEB"/>
    <w:rsid w:val="00BB243B"/>
    <w:rsid w:val="00BB45CB"/>
    <w:rsid w:val="00BB54E2"/>
    <w:rsid w:val="00BC2E6F"/>
    <w:rsid w:val="00BD04CB"/>
    <w:rsid w:val="00BD3D89"/>
    <w:rsid w:val="00BD5685"/>
    <w:rsid w:val="00BF33B7"/>
    <w:rsid w:val="00BF45B0"/>
    <w:rsid w:val="00C00B00"/>
    <w:rsid w:val="00C0314B"/>
    <w:rsid w:val="00C2246A"/>
    <w:rsid w:val="00C2402A"/>
    <w:rsid w:val="00C26E25"/>
    <w:rsid w:val="00C3350E"/>
    <w:rsid w:val="00C33AF9"/>
    <w:rsid w:val="00C36DD1"/>
    <w:rsid w:val="00C45F20"/>
    <w:rsid w:val="00C5358D"/>
    <w:rsid w:val="00C61DAF"/>
    <w:rsid w:val="00C65354"/>
    <w:rsid w:val="00C661EE"/>
    <w:rsid w:val="00C7379A"/>
    <w:rsid w:val="00C7723F"/>
    <w:rsid w:val="00C820B5"/>
    <w:rsid w:val="00C82952"/>
    <w:rsid w:val="00C82EDC"/>
    <w:rsid w:val="00C96389"/>
    <w:rsid w:val="00CA03B4"/>
    <w:rsid w:val="00CA6DE0"/>
    <w:rsid w:val="00CA7594"/>
    <w:rsid w:val="00CC0192"/>
    <w:rsid w:val="00CC0E57"/>
    <w:rsid w:val="00CC2856"/>
    <w:rsid w:val="00CC70F8"/>
    <w:rsid w:val="00CE126E"/>
    <w:rsid w:val="00CE62EE"/>
    <w:rsid w:val="00CE7446"/>
    <w:rsid w:val="00CF746D"/>
    <w:rsid w:val="00D022D2"/>
    <w:rsid w:val="00D075FB"/>
    <w:rsid w:val="00D11C95"/>
    <w:rsid w:val="00D2457D"/>
    <w:rsid w:val="00D416BB"/>
    <w:rsid w:val="00D5342C"/>
    <w:rsid w:val="00D562FF"/>
    <w:rsid w:val="00D616F8"/>
    <w:rsid w:val="00D653DB"/>
    <w:rsid w:val="00D66B1F"/>
    <w:rsid w:val="00D71609"/>
    <w:rsid w:val="00D755C7"/>
    <w:rsid w:val="00D75F36"/>
    <w:rsid w:val="00D7733C"/>
    <w:rsid w:val="00D77CD2"/>
    <w:rsid w:val="00D824FD"/>
    <w:rsid w:val="00D83674"/>
    <w:rsid w:val="00D9299D"/>
    <w:rsid w:val="00D97EE4"/>
    <w:rsid w:val="00DA227E"/>
    <w:rsid w:val="00DA4CB3"/>
    <w:rsid w:val="00DA7F85"/>
    <w:rsid w:val="00DB05EA"/>
    <w:rsid w:val="00DB2089"/>
    <w:rsid w:val="00DB34A6"/>
    <w:rsid w:val="00DB3F5F"/>
    <w:rsid w:val="00DC4731"/>
    <w:rsid w:val="00DD0497"/>
    <w:rsid w:val="00DE1034"/>
    <w:rsid w:val="00DF6977"/>
    <w:rsid w:val="00E023A7"/>
    <w:rsid w:val="00E0396D"/>
    <w:rsid w:val="00E04D91"/>
    <w:rsid w:val="00E1236E"/>
    <w:rsid w:val="00E23694"/>
    <w:rsid w:val="00E3746A"/>
    <w:rsid w:val="00E40ADF"/>
    <w:rsid w:val="00E55289"/>
    <w:rsid w:val="00E67CBE"/>
    <w:rsid w:val="00E76043"/>
    <w:rsid w:val="00E766E6"/>
    <w:rsid w:val="00E92227"/>
    <w:rsid w:val="00E97A47"/>
    <w:rsid w:val="00EA126A"/>
    <w:rsid w:val="00EA70AE"/>
    <w:rsid w:val="00EB1883"/>
    <w:rsid w:val="00EB26B7"/>
    <w:rsid w:val="00EC1583"/>
    <w:rsid w:val="00EC54CE"/>
    <w:rsid w:val="00ED10A0"/>
    <w:rsid w:val="00ED25C1"/>
    <w:rsid w:val="00ED2F1A"/>
    <w:rsid w:val="00ED63D4"/>
    <w:rsid w:val="00EE0D36"/>
    <w:rsid w:val="00EE0DEE"/>
    <w:rsid w:val="00EE2B22"/>
    <w:rsid w:val="00EF22C3"/>
    <w:rsid w:val="00EF5CA2"/>
    <w:rsid w:val="00F0109E"/>
    <w:rsid w:val="00F076B9"/>
    <w:rsid w:val="00F14C63"/>
    <w:rsid w:val="00F22E34"/>
    <w:rsid w:val="00F27EDB"/>
    <w:rsid w:val="00F477CB"/>
    <w:rsid w:val="00F50669"/>
    <w:rsid w:val="00F525D9"/>
    <w:rsid w:val="00F541D5"/>
    <w:rsid w:val="00F54BD5"/>
    <w:rsid w:val="00F62594"/>
    <w:rsid w:val="00F854AD"/>
    <w:rsid w:val="00F86844"/>
    <w:rsid w:val="00F916F6"/>
    <w:rsid w:val="00F96835"/>
    <w:rsid w:val="00FA40D3"/>
    <w:rsid w:val="00FA42BA"/>
    <w:rsid w:val="00FA6372"/>
    <w:rsid w:val="00FA6A1A"/>
    <w:rsid w:val="00FB528C"/>
    <w:rsid w:val="00FB5E57"/>
    <w:rsid w:val="00FB679C"/>
    <w:rsid w:val="00FC2C32"/>
    <w:rsid w:val="00FC43ED"/>
    <w:rsid w:val="00FC46E8"/>
    <w:rsid w:val="00FC62F8"/>
    <w:rsid w:val="00FD080F"/>
    <w:rsid w:val="00FD23F6"/>
    <w:rsid w:val="00FD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0B821"/>
  <w15:chartTrackingRefBased/>
  <w15:docId w15:val="{C1CEBB5F-A4B7-4693-B494-22910C3B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F01CC"/>
    <w:pPr>
      <w:spacing w:after="0" w:line="240" w:lineRule="auto"/>
    </w:pPr>
    <w:rPr>
      <w:rFonts w:ascii="Cambria" w:eastAsia="Cambria" w:hAnsi="Cambria" w:cs="Cambria"/>
      <w:color w:val="000000"/>
      <w:sz w:val="24"/>
      <w:szCs w:val="24"/>
    </w:rPr>
  </w:style>
  <w:style w:type="paragraph" w:styleId="Heading1">
    <w:name w:val="heading 1"/>
    <w:basedOn w:val="Normal"/>
    <w:next w:val="Normal"/>
    <w:link w:val="Heading1Char"/>
    <w:uiPriority w:val="9"/>
    <w:qFormat/>
    <w:rsid w:val="00C82ED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3DC2"/>
    <w:pPr>
      <w:keepNext/>
      <w:keepLines/>
      <w:spacing w:before="40"/>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semiHidden/>
    <w:unhideWhenUsed/>
    <w:qFormat/>
    <w:rsid w:val="00026E4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ED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26E41"/>
    <w:rPr>
      <w:rFonts w:asciiTheme="majorHAnsi" w:eastAsiaTheme="majorEastAsia" w:hAnsiTheme="majorHAnsi" w:cstheme="majorBidi"/>
      <w:color w:val="1F4D78" w:themeColor="accent1" w:themeShade="7F"/>
      <w:sz w:val="24"/>
      <w:szCs w:val="24"/>
    </w:rPr>
  </w:style>
  <w:style w:type="table" w:customStyle="1" w:styleId="ListTable3-Accent11">
    <w:name w:val="List Table 3 - Accent 11"/>
    <w:basedOn w:val="TableNormal"/>
    <w:uiPriority w:val="48"/>
    <w:rsid w:val="004F01CC"/>
    <w:pPr>
      <w:spacing w:after="0" w:line="240" w:lineRule="auto"/>
    </w:pPr>
    <w:rPr>
      <w:rFonts w:ascii="Cambria" w:eastAsia="Cambria" w:hAnsi="Cambria" w:cs="Cambria"/>
      <w:color w:val="000000"/>
      <w:sz w:val="24"/>
      <w:szCs w:val="24"/>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apple-converted-space">
    <w:name w:val="apple-converted-space"/>
    <w:basedOn w:val="DefaultParagraphFont"/>
    <w:rsid w:val="004F01CC"/>
  </w:style>
  <w:style w:type="character" w:styleId="Hyperlink">
    <w:name w:val="Hyperlink"/>
    <w:basedOn w:val="DefaultParagraphFont"/>
    <w:uiPriority w:val="99"/>
    <w:unhideWhenUsed/>
    <w:rsid w:val="004F01CC"/>
    <w:rPr>
      <w:color w:val="0563C1" w:themeColor="hyperlink"/>
      <w:u w:val="single"/>
    </w:rPr>
  </w:style>
  <w:style w:type="character" w:styleId="Emphasis">
    <w:name w:val="Emphasis"/>
    <w:basedOn w:val="DefaultParagraphFont"/>
    <w:uiPriority w:val="20"/>
    <w:qFormat/>
    <w:rsid w:val="004F01CC"/>
    <w:rPr>
      <w:i/>
      <w:iCs/>
    </w:rPr>
  </w:style>
  <w:style w:type="paragraph" w:styleId="Revision">
    <w:name w:val="Revision"/>
    <w:hidden/>
    <w:uiPriority w:val="99"/>
    <w:semiHidden/>
    <w:rsid w:val="00C82EDC"/>
    <w:pPr>
      <w:spacing w:after="0" w:line="240" w:lineRule="auto"/>
    </w:pPr>
    <w:rPr>
      <w:rFonts w:ascii="Cambria" w:eastAsia="Cambria" w:hAnsi="Cambria" w:cs="Cambria"/>
      <w:color w:val="000000"/>
      <w:sz w:val="24"/>
      <w:szCs w:val="24"/>
    </w:rPr>
  </w:style>
  <w:style w:type="paragraph" w:styleId="Header">
    <w:name w:val="header"/>
    <w:basedOn w:val="Normal"/>
    <w:link w:val="HeaderChar"/>
    <w:uiPriority w:val="99"/>
    <w:unhideWhenUsed/>
    <w:rsid w:val="009B7A3C"/>
    <w:pPr>
      <w:tabs>
        <w:tab w:val="center" w:pos="4680"/>
        <w:tab w:val="right" w:pos="9360"/>
      </w:tabs>
    </w:pPr>
  </w:style>
  <w:style w:type="character" w:customStyle="1" w:styleId="HeaderChar">
    <w:name w:val="Header Char"/>
    <w:basedOn w:val="DefaultParagraphFont"/>
    <w:link w:val="Header"/>
    <w:uiPriority w:val="99"/>
    <w:rsid w:val="009B7A3C"/>
    <w:rPr>
      <w:rFonts w:ascii="Cambria" w:eastAsia="Cambria" w:hAnsi="Cambria" w:cs="Cambria"/>
      <w:color w:val="000000"/>
      <w:sz w:val="24"/>
      <w:szCs w:val="24"/>
    </w:rPr>
  </w:style>
  <w:style w:type="paragraph" w:styleId="Footer">
    <w:name w:val="footer"/>
    <w:basedOn w:val="Normal"/>
    <w:link w:val="FooterChar"/>
    <w:uiPriority w:val="99"/>
    <w:unhideWhenUsed/>
    <w:rsid w:val="009B7A3C"/>
    <w:pPr>
      <w:tabs>
        <w:tab w:val="center" w:pos="4680"/>
        <w:tab w:val="right" w:pos="9360"/>
      </w:tabs>
    </w:pPr>
  </w:style>
  <w:style w:type="character" w:customStyle="1" w:styleId="FooterChar">
    <w:name w:val="Footer Char"/>
    <w:basedOn w:val="DefaultParagraphFont"/>
    <w:link w:val="Footer"/>
    <w:uiPriority w:val="99"/>
    <w:rsid w:val="009B7A3C"/>
    <w:rPr>
      <w:rFonts w:ascii="Cambria" w:eastAsia="Cambria" w:hAnsi="Cambria" w:cs="Cambria"/>
      <w:color w:val="000000"/>
      <w:sz w:val="24"/>
      <w:szCs w:val="24"/>
    </w:rPr>
  </w:style>
  <w:style w:type="paragraph" w:styleId="ListParagraph">
    <w:name w:val="List Paragraph"/>
    <w:basedOn w:val="Normal"/>
    <w:uiPriority w:val="34"/>
    <w:qFormat/>
    <w:rsid w:val="005510BD"/>
    <w:pPr>
      <w:spacing w:after="200" w:line="276" w:lineRule="auto"/>
      <w:ind w:left="720"/>
      <w:contextualSpacing/>
    </w:pPr>
    <w:rPr>
      <w:rFonts w:asciiTheme="minorHAnsi" w:eastAsiaTheme="minorEastAsia" w:hAnsiTheme="minorHAnsi" w:cstheme="minorBidi"/>
      <w:color w:val="auto"/>
      <w:sz w:val="22"/>
      <w:szCs w:val="22"/>
    </w:rPr>
  </w:style>
  <w:style w:type="paragraph" w:customStyle="1" w:styleId="Pa37">
    <w:name w:val="Pa37"/>
    <w:basedOn w:val="Normal"/>
    <w:next w:val="Normal"/>
    <w:uiPriority w:val="99"/>
    <w:rsid w:val="005510BD"/>
    <w:pPr>
      <w:autoSpaceDE w:val="0"/>
      <w:autoSpaceDN w:val="0"/>
      <w:adjustRightInd w:val="0"/>
      <w:spacing w:line="141" w:lineRule="atLeast"/>
    </w:pPr>
    <w:rPr>
      <w:rFonts w:ascii="Frutiger Next Pro Light" w:eastAsiaTheme="minorHAnsi" w:hAnsi="Frutiger Next Pro Light" w:cstheme="minorBidi"/>
      <w:color w:val="auto"/>
    </w:rPr>
  </w:style>
  <w:style w:type="character" w:customStyle="1" w:styleId="A7">
    <w:name w:val="A7"/>
    <w:uiPriority w:val="99"/>
    <w:rsid w:val="005510BD"/>
    <w:rPr>
      <w:rFonts w:cs="Frutiger Next Pro Light"/>
      <w:color w:val="000000"/>
    </w:rPr>
  </w:style>
  <w:style w:type="character" w:customStyle="1" w:styleId="A15">
    <w:name w:val="A15"/>
    <w:uiPriority w:val="99"/>
    <w:rsid w:val="005510BD"/>
    <w:rPr>
      <w:rFonts w:cs="FrutigerNext LT Light"/>
      <w:color w:val="000000"/>
      <w:sz w:val="13"/>
      <w:szCs w:val="13"/>
    </w:rPr>
  </w:style>
  <w:style w:type="paragraph" w:styleId="NoSpacing">
    <w:name w:val="No Spacing"/>
    <w:uiPriority w:val="1"/>
    <w:qFormat/>
    <w:rsid w:val="005510BD"/>
    <w:pPr>
      <w:spacing w:after="0" w:line="240" w:lineRule="auto"/>
    </w:pPr>
  </w:style>
  <w:style w:type="character" w:styleId="Strong">
    <w:name w:val="Strong"/>
    <w:basedOn w:val="DefaultParagraphFont"/>
    <w:uiPriority w:val="22"/>
    <w:qFormat/>
    <w:rsid w:val="005510BD"/>
    <w:rPr>
      <w:b/>
      <w:bCs/>
    </w:rPr>
  </w:style>
  <w:style w:type="character" w:customStyle="1" w:styleId="articlelocatiospann">
    <w:name w:val="articlelocatio&lt;/span&gt;n"/>
    <w:basedOn w:val="DefaultParagraphFont"/>
    <w:rsid w:val="005510BD"/>
  </w:style>
  <w:style w:type="character" w:customStyle="1" w:styleId="caps1">
    <w:name w:val="caps1"/>
    <w:basedOn w:val="DefaultParagraphFont"/>
    <w:rsid w:val="005510BD"/>
    <w:rPr>
      <w:sz w:val="22"/>
      <w:szCs w:val="22"/>
    </w:rPr>
  </w:style>
  <w:style w:type="paragraph" w:customStyle="1" w:styleId="Pa11">
    <w:name w:val="Pa11"/>
    <w:basedOn w:val="Normal"/>
    <w:next w:val="Normal"/>
    <w:uiPriority w:val="99"/>
    <w:rsid w:val="005510BD"/>
    <w:pPr>
      <w:autoSpaceDE w:val="0"/>
      <w:autoSpaceDN w:val="0"/>
      <w:adjustRightInd w:val="0"/>
      <w:spacing w:line="201" w:lineRule="atLeast"/>
    </w:pPr>
    <w:rPr>
      <w:rFonts w:ascii="CA Sans" w:eastAsiaTheme="minorHAnsi" w:hAnsi="CA Sans" w:cstheme="minorBidi"/>
      <w:color w:val="auto"/>
    </w:rPr>
  </w:style>
  <w:style w:type="paragraph" w:styleId="BalloonText">
    <w:name w:val="Balloon Text"/>
    <w:basedOn w:val="Normal"/>
    <w:link w:val="BalloonTextChar"/>
    <w:uiPriority w:val="99"/>
    <w:semiHidden/>
    <w:unhideWhenUsed/>
    <w:rsid w:val="005510BD"/>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5510BD"/>
    <w:rPr>
      <w:rFonts w:ascii="Segoe UI" w:hAnsi="Segoe UI" w:cs="Segoe UI"/>
      <w:sz w:val="18"/>
      <w:szCs w:val="18"/>
    </w:rPr>
  </w:style>
  <w:style w:type="paragraph" w:styleId="NormalWeb">
    <w:name w:val="Normal (Web)"/>
    <w:basedOn w:val="Normal"/>
    <w:uiPriority w:val="99"/>
    <w:rsid w:val="008235F0"/>
    <w:pPr>
      <w:spacing w:before="100" w:beforeAutospacing="1" w:after="100" w:afterAutospacing="1" w:line="336" w:lineRule="auto"/>
      <w:jc w:val="both"/>
    </w:pPr>
    <w:rPr>
      <w:rFonts w:ascii="Verdana" w:eastAsia="Arial Unicode MS" w:hAnsi="Verdana" w:cs="Arial Unicode MS"/>
      <w:sz w:val="17"/>
      <w:szCs w:val="17"/>
    </w:rPr>
  </w:style>
  <w:style w:type="table" w:styleId="TableGrid">
    <w:name w:val="Table Grid"/>
    <w:basedOn w:val="TableNormal"/>
    <w:uiPriority w:val="39"/>
    <w:rsid w:val="008235F0"/>
    <w:pPr>
      <w:spacing w:after="0" w:line="48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mphasis">
    <w:name w:val="f_emphasis"/>
    <w:basedOn w:val="DefaultParagraphFont"/>
    <w:rsid w:val="008235F0"/>
  </w:style>
  <w:style w:type="paragraph" w:styleId="BodyText">
    <w:name w:val="Body Text"/>
    <w:basedOn w:val="Normal"/>
    <w:link w:val="BodyTextChar"/>
    <w:uiPriority w:val="1"/>
    <w:qFormat/>
    <w:rsid w:val="00765041"/>
    <w:pPr>
      <w:widowControl w:val="0"/>
      <w:autoSpaceDE w:val="0"/>
      <w:autoSpaceDN w:val="0"/>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765041"/>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0DEE"/>
    <w:rPr>
      <w:rFonts w:asciiTheme="minorHAnsi" w:eastAsiaTheme="minorEastAsia" w:hAnsiTheme="minorHAnsi" w:cstheme="minorBidi"/>
      <w:color w:val="auto"/>
      <w:sz w:val="20"/>
      <w:szCs w:val="20"/>
      <w:lang w:val="en-GB" w:eastAsia="zh-CN"/>
    </w:rPr>
  </w:style>
  <w:style w:type="character" w:customStyle="1" w:styleId="FootnoteTextChar">
    <w:name w:val="Footnote Text Char"/>
    <w:basedOn w:val="DefaultParagraphFont"/>
    <w:link w:val="FootnoteText"/>
    <w:uiPriority w:val="99"/>
    <w:semiHidden/>
    <w:rsid w:val="00EE0DEE"/>
    <w:rPr>
      <w:rFonts w:eastAsiaTheme="minorEastAsia"/>
      <w:sz w:val="20"/>
      <w:szCs w:val="20"/>
      <w:lang w:val="en-GB" w:eastAsia="zh-CN"/>
    </w:rPr>
  </w:style>
  <w:style w:type="character" w:styleId="FootnoteReference">
    <w:name w:val="footnote reference"/>
    <w:basedOn w:val="DefaultParagraphFont"/>
    <w:uiPriority w:val="99"/>
    <w:semiHidden/>
    <w:unhideWhenUsed/>
    <w:rsid w:val="00EE0DEE"/>
    <w:rPr>
      <w:vertAlign w:val="superscript"/>
    </w:rPr>
  </w:style>
  <w:style w:type="paragraph" w:customStyle="1" w:styleId="MTDisplayEquation">
    <w:name w:val="MTDisplayEquation"/>
    <w:basedOn w:val="Normal"/>
    <w:next w:val="Normal"/>
    <w:link w:val="MTDisplayEquationChar"/>
    <w:rsid w:val="00A87226"/>
    <w:pPr>
      <w:widowControl w:val="0"/>
      <w:tabs>
        <w:tab w:val="center" w:pos="4680"/>
        <w:tab w:val="right" w:pos="9360"/>
      </w:tabs>
      <w:autoSpaceDE w:val="0"/>
      <w:autoSpaceDN w:val="0"/>
      <w:adjustRightInd w:val="0"/>
    </w:pPr>
    <w:rPr>
      <w:rFonts w:ascii="Times New Roman" w:eastAsia="Times New Roman" w:hAnsi="Times New Roman" w:cs="Times New Roman"/>
      <w:color w:val="auto"/>
      <w:szCs w:val="20"/>
    </w:rPr>
  </w:style>
  <w:style w:type="character" w:customStyle="1" w:styleId="MTDisplayEquationChar">
    <w:name w:val="MTDisplayEquation Char"/>
    <w:link w:val="MTDisplayEquation"/>
    <w:rsid w:val="00A87226"/>
    <w:rPr>
      <w:rFonts w:ascii="Times New Roman" w:eastAsia="Times New Roman" w:hAnsi="Times New Roman" w:cs="Times New Roman"/>
      <w:sz w:val="24"/>
      <w:szCs w:val="20"/>
    </w:rPr>
  </w:style>
  <w:style w:type="paragraph" w:customStyle="1" w:styleId="EQForJitim">
    <w:name w:val="EQ_For_Jitim"/>
    <w:basedOn w:val="Normal"/>
    <w:link w:val="EQForJitimChar"/>
    <w:autoRedefine/>
    <w:qFormat/>
    <w:rsid w:val="006B3A86"/>
    <w:pPr>
      <w:framePr w:wrap="around" w:vAnchor="text" w:hAnchor="text" w:y="1"/>
      <w:widowControl w:val="0"/>
      <w:autoSpaceDE w:val="0"/>
      <w:autoSpaceDN w:val="0"/>
      <w:adjustRightInd w:val="0"/>
      <w:snapToGrid w:val="0"/>
      <w:spacing w:before="120" w:after="120"/>
      <w:ind w:right="475"/>
      <w:jc w:val="center"/>
    </w:pPr>
    <w:rPr>
      <w:rFonts w:ascii="Cambria Math" w:eastAsia="Times New Roman" w:hAnsi="Cambria Math" w:cs="Times New Roman"/>
      <w:i/>
      <w:color w:val="auto"/>
      <w:szCs w:val="20"/>
    </w:rPr>
  </w:style>
  <w:style w:type="character" w:customStyle="1" w:styleId="EQForJitimChar">
    <w:name w:val="EQ_For_Jitim Char"/>
    <w:basedOn w:val="DefaultParagraphFont"/>
    <w:link w:val="EQForJitim"/>
    <w:rsid w:val="006B3A86"/>
    <w:rPr>
      <w:rFonts w:ascii="Cambria Math" w:eastAsia="Times New Roman" w:hAnsi="Cambria Math" w:cs="Times New Roman"/>
      <w:i/>
      <w:sz w:val="24"/>
      <w:szCs w:val="20"/>
    </w:rPr>
  </w:style>
  <w:style w:type="paragraph" w:styleId="Caption">
    <w:name w:val="caption"/>
    <w:basedOn w:val="Normal"/>
    <w:next w:val="Normal"/>
    <w:uiPriority w:val="35"/>
    <w:unhideWhenUsed/>
    <w:qFormat/>
    <w:rsid w:val="00362FFE"/>
    <w:pPr>
      <w:widowControl w:val="0"/>
      <w:autoSpaceDE w:val="0"/>
      <w:autoSpaceDN w:val="0"/>
      <w:adjustRightInd w:val="0"/>
      <w:spacing w:before="60" w:after="60"/>
      <w:jc w:val="center"/>
    </w:pPr>
    <w:rPr>
      <w:rFonts w:ascii="Times New Roman" w:eastAsia="Times New Roman" w:hAnsi="Times New Roman" w:cs="Times New Roman"/>
      <w:b/>
      <w:bCs/>
      <w:color w:val="auto"/>
      <w:sz w:val="20"/>
      <w:szCs w:val="20"/>
    </w:rPr>
  </w:style>
  <w:style w:type="paragraph" w:customStyle="1" w:styleId="Table">
    <w:name w:val="Table"/>
    <w:basedOn w:val="Normal"/>
    <w:qFormat/>
    <w:rsid w:val="004966ED"/>
    <w:pPr>
      <w:widowControl w:val="0"/>
      <w:autoSpaceDE w:val="0"/>
      <w:autoSpaceDN w:val="0"/>
      <w:adjustRightInd w:val="0"/>
    </w:pPr>
    <w:rPr>
      <w:rFonts w:ascii="Times New Roman" w:eastAsia="Times New Roman" w:hAnsi="Times New Roman" w:cs="Times New Roman"/>
      <w:color w:val="auto"/>
      <w:szCs w:val="20"/>
    </w:rPr>
  </w:style>
  <w:style w:type="character" w:customStyle="1" w:styleId="CommentTextChar">
    <w:name w:val="Comment Text Char"/>
    <w:basedOn w:val="DefaultParagraphFont"/>
    <w:link w:val="CommentText"/>
    <w:uiPriority w:val="99"/>
    <w:semiHidden/>
    <w:rsid w:val="00F27EDB"/>
    <w:rPr>
      <w:sz w:val="20"/>
      <w:szCs w:val="20"/>
    </w:rPr>
  </w:style>
  <w:style w:type="paragraph" w:styleId="CommentText">
    <w:name w:val="annotation text"/>
    <w:basedOn w:val="Normal"/>
    <w:link w:val="CommentTextChar"/>
    <w:uiPriority w:val="99"/>
    <w:semiHidden/>
    <w:unhideWhenUsed/>
    <w:rsid w:val="00F27EDB"/>
    <w:pPr>
      <w:spacing w:after="200"/>
    </w:pPr>
    <w:rPr>
      <w:rFonts w:asciiTheme="minorHAnsi" w:eastAsiaTheme="minorHAnsi" w:hAnsiTheme="minorHAnsi" w:cstheme="minorBidi"/>
      <w:color w:val="auto"/>
      <w:sz w:val="20"/>
      <w:szCs w:val="20"/>
    </w:rPr>
  </w:style>
  <w:style w:type="character" w:customStyle="1" w:styleId="CommentSubjectChar">
    <w:name w:val="Comment Subject Char"/>
    <w:basedOn w:val="CommentTextChar"/>
    <w:link w:val="CommentSubject"/>
    <w:uiPriority w:val="99"/>
    <w:semiHidden/>
    <w:rsid w:val="00F27EDB"/>
    <w:rPr>
      <w:b/>
      <w:bCs/>
      <w:sz w:val="20"/>
      <w:szCs w:val="20"/>
    </w:rPr>
  </w:style>
  <w:style w:type="paragraph" w:styleId="CommentSubject">
    <w:name w:val="annotation subject"/>
    <w:basedOn w:val="CommentText"/>
    <w:next w:val="CommentText"/>
    <w:link w:val="CommentSubjectChar"/>
    <w:uiPriority w:val="99"/>
    <w:semiHidden/>
    <w:unhideWhenUsed/>
    <w:rsid w:val="00F27EDB"/>
    <w:rPr>
      <w:b/>
      <w:bCs/>
    </w:rPr>
  </w:style>
  <w:style w:type="paragraph" w:styleId="Bibliography">
    <w:name w:val="Bibliography"/>
    <w:basedOn w:val="Normal"/>
    <w:next w:val="Normal"/>
    <w:uiPriority w:val="37"/>
    <w:unhideWhenUsed/>
    <w:rsid w:val="00F27EDB"/>
    <w:pPr>
      <w:spacing w:after="200" w:line="276" w:lineRule="auto"/>
    </w:pPr>
    <w:rPr>
      <w:rFonts w:asciiTheme="minorHAnsi" w:eastAsiaTheme="minorHAnsi" w:hAnsiTheme="minorHAnsi" w:cstheme="minorBidi"/>
      <w:color w:val="auto"/>
      <w:sz w:val="22"/>
      <w:szCs w:val="22"/>
    </w:rPr>
  </w:style>
  <w:style w:type="character" w:customStyle="1" w:styleId="arttitle">
    <w:name w:val="art_title"/>
    <w:basedOn w:val="DefaultParagraphFont"/>
    <w:rsid w:val="00F27EDB"/>
  </w:style>
  <w:style w:type="character" w:customStyle="1" w:styleId="authors">
    <w:name w:val="authors"/>
    <w:basedOn w:val="DefaultParagraphFont"/>
    <w:rsid w:val="00F27EDB"/>
  </w:style>
  <w:style w:type="character" w:customStyle="1" w:styleId="Date1">
    <w:name w:val="Date1"/>
    <w:basedOn w:val="DefaultParagraphFont"/>
    <w:rsid w:val="00F27EDB"/>
  </w:style>
  <w:style w:type="character" w:customStyle="1" w:styleId="serialtitle">
    <w:name w:val="serial_title"/>
    <w:basedOn w:val="DefaultParagraphFont"/>
    <w:rsid w:val="00F27EDB"/>
  </w:style>
  <w:style w:type="character" w:customStyle="1" w:styleId="volumeissue">
    <w:name w:val="volume_issue"/>
    <w:basedOn w:val="DefaultParagraphFont"/>
    <w:rsid w:val="00F27EDB"/>
  </w:style>
  <w:style w:type="character" w:customStyle="1" w:styleId="pagerange">
    <w:name w:val="page_range"/>
    <w:basedOn w:val="DefaultParagraphFont"/>
    <w:rsid w:val="00F27EDB"/>
  </w:style>
  <w:style w:type="paragraph" w:customStyle="1" w:styleId="EndNoteBibliography">
    <w:name w:val="EndNote Bibliography"/>
    <w:basedOn w:val="Normal"/>
    <w:link w:val="EndNoteBibliographyChar"/>
    <w:rsid w:val="000F5377"/>
    <w:pPr>
      <w:spacing w:after="160"/>
    </w:pPr>
    <w:rPr>
      <w:rFonts w:ascii="Calibri" w:eastAsiaTheme="minorHAnsi" w:hAnsi="Calibri" w:cs="Calibri"/>
      <w:noProof/>
      <w:color w:val="auto"/>
      <w:sz w:val="22"/>
      <w:szCs w:val="22"/>
    </w:rPr>
  </w:style>
  <w:style w:type="character" w:customStyle="1" w:styleId="EndNoteBibliographyChar">
    <w:name w:val="EndNote Bibliography Char"/>
    <w:basedOn w:val="DefaultParagraphFont"/>
    <w:link w:val="EndNoteBibliography"/>
    <w:rsid w:val="000F5377"/>
    <w:rPr>
      <w:rFonts w:ascii="Calibri" w:hAnsi="Calibri" w:cs="Calibri"/>
      <w:noProof/>
    </w:rPr>
  </w:style>
  <w:style w:type="character" w:customStyle="1" w:styleId="Heading2Char">
    <w:name w:val="Heading 2 Char"/>
    <w:basedOn w:val="DefaultParagraphFont"/>
    <w:link w:val="Heading2"/>
    <w:uiPriority w:val="9"/>
    <w:rsid w:val="00423DC2"/>
    <w:rPr>
      <w:rFonts w:asciiTheme="majorHAnsi" w:eastAsiaTheme="majorEastAsia" w:hAnsiTheme="majorHAnsi" w:cstheme="majorBidi"/>
      <w:color w:val="2E74B5" w:themeColor="accent1" w:themeShade="BF"/>
      <w:sz w:val="26"/>
      <w:szCs w:val="26"/>
      <w:lang w:val="en-GB"/>
    </w:rPr>
  </w:style>
  <w:style w:type="table" w:styleId="ListTable3-Accent1">
    <w:name w:val="List Table 3 Accent 1"/>
    <w:basedOn w:val="TableNormal"/>
    <w:uiPriority w:val="48"/>
    <w:rsid w:val="00840D5A"/>
    <w:pPr>
      <w:spacing w:after="0" w:line="240" w:lineRule="auto"/>
    </w:pPr>
    <w:rPr>
      <w:sz w:val="24"/>
      <w:szCs w:val="24"/>
      <w:lang w:val="nl-NL"/>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eGrid0">
    <w:name w:val="TableGrid"/>
    <w:rsid w:val="007C157D"/>
    <w:pPr>
      <w:spacing w:after="0" w:line="240" w:lineRule="auto"/>
    </w:pPr>
    <w:rPr>
      <w:rFonts w:eastAsiaTheme="minorEastAsia"/>
      <w:lang w:val="nl-NL" w:eastAsia="nl-NL"/>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F62594"/>
    <w:rPr>
      <w:color w:val="605E5C"/>
      <w:shd w:val="clear" w:color="auto" w:fill="E1DFDD"/>
    </w:rPr>
  </w:style>
  <w:style w:type="paragraph" w:customStyle="1" w:styleId="footnotedescription">
    <w:name w:val="footnote description"/>
    <w:next w:val="Normal"/>
    <w:link w:val="footnotedescriptionChar"/>
    <w:hidden/>
    <w:rsid w:val="00AE2411"/>
    <w:pPr>
      <w:spacing w:after="6"/>
      <w:ind w:left="249"/>
    </w:pPr>
    <w:rPr>
      <w:rFonts w:ascii="Calibri" w:eastAsia="Calibri" w:hAnsi="Calibri" w:cs="Calibri"/>
      <w:color w:val="000000"/>
      <w:sz w:val="18"/>
      <w:lang w:val="nl-NL" w:eastAsia="nl-NL"/>
    </w:rPr>
  </w:style>
  <w:style w:type="character" w:customStyle="1" w:styleId="footnotedescriptionChar">
    <w:name w:val="footnote description Char"/>
    <w:link w:val="footnotedescription"/>
    <w:rsid w:val="00AE2411"/>
    <w:rPr>
      <w:rFonts w:ascii="Calibri" w:eastAsia="Calibri" w:hAnsi="Calibri" w:cs="Calibri"/>
      <w:color w:val="000000"/>
      <w:sz w:val="18"/>
      <w:lang w:val="nl-NL" w:eastAsia="nl-NL"/>
    </w:rPr>
  </w:style>
  <w:style w:type="character" w:customStyle="1" w:styleId="footnotemark">
    <w:name w:val="footnote mark"/>
    <w:hidden/>
    <w:rsid w:val="00AE2411"/>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caai.org/news/acaai-updates-guidance-risk-allergic-reactions-covid-19-vaccines" TargetMode="External"/><Relationship Id="rId18" Type="http://schemas.openxmlformats.org/officeDocument/2006/relationships/hyperlink" Target="https://www.healthline.com/health/allergies/environmental-allergies" TargetMode="External"/><Relationship Id="rId26" Type="http://schemas.openxmlformats.org/officeDocument/2006/relationships/hyperlink" Target="https://www.cnet.com/health/johnson-johnson-vaccine-linked-to-rare-cases-of-autoimmune-disorder/" TargetMode="External"/><Relationship Id="rId21" Type="http://schemas.openxmlformats.org/officeDocument/2006/relationships/hyperlink" Target="https://www.mayoclinic.org/coronavirus-covid-19/vaccine-side-effect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acaai.org/news/acaai-updates-guidance-risk-allergic-reactions-covid-19-vaccines" TargetMode="External"/><Relationship Id="rId17" Type="http://schemas.openxmlformats.org/officeDocument/2006/relationships/hyperlink" Target="https://www.cdc.gov/vaccinesafety/ensuringsafety/sideeffects/index.html" TargetMode="External"/><Relationship Id="rId25" Type="http://schemas.openxmlformats.org/officeDocument/2006/relationships/hyperlink" Target="https://www.cnet.com/health/johnson-johnson-vaccine-linked-to-rare-cases-of-autoimmune-disorder/"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c.gov/vaccinesafety/ensuringsafety/sideeffects/index.html" TargetMode="External"/><Relationship Id="rId20" Type="http://schemas.openxmlformats.org/officeDocument/2006/relationships/hyperlink" Target="https://www.mayoclinic.org/coronavirus-covid-19/vaccine-side-effects" TargetMode="External"/><Relationship Id="rId29" Type="http://schemas.openxmlformats.org/officeDocument/2006/relationships/hyperlink" Target="https://www.webmd.com/allergies/most-common-drugs-that-cause-allerg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net.com/health/johnson-johnson-vaccine-linked-to-rare-cases-of-autoimmune-disorder/"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c.gov/vaccinesafety/ensuringsafety/sideeffects/index.html" TargetMode="External"/><Relationship Id="rId23" Type="http://schemas.openxmlformats.org/officeDocument/2006/relationships/hyperlink" Target="https://www.mayoclinic.org/coronavirus-covid-19/vaccine-side-effects" TargetMode="External"/><Relationship Id="rId28" Type="http://schemas.openxmlformats.org/officeDocument/2006/relationships/hyperlink" Target="https://www.thedailymeal.com/10-most-common-food-allergies-0"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healthline.com/health/allergies/environmental-allergie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vaccinesafety/ensuringsafety/sideeffects/index.html" TargetMode="External"/><Relationship Id="rId22" Type="http://schemas.openxmlformats.org/officeDocument/2006/relationships/hyperlink" Target="https://www.mayoclinic.org/coronavirus-covid-19/vaccine-side-effects" TargetMode="External"/><Relationship Id="rId27" Type="http://schemas.openxmlformats.org/officeDocument/2006/relationships/hyperlink" Target="https://www.thedailymeal.com/10-most-common-food-allergies-0" TargetMode="External"/><Relationship Id="rId30" Type="http://schemas.openxmlformats.org/officeDocument/2006/relationships/hyperlink" Target="https://www.webmd.com/allergies/most-common-drugs-that-cause-allergies"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BC12CCEB4D9D42BA2F1F716B33EBB8" ma:contentTypeVersion="0" ma:contentTypeDescription="Een nieuw document maken." ma:contentTypeScope="" ma:versionID="b90bc605e21cb253df94bbda5e0bd477">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The19</b:Tag>
    <b:SourceType>DocumentFromInternetSite</b:SourceType>
    <b:Guid>{3F0B0BA2-4F87-489C-8A48-5FC167CC3394}</b:Guid>
    <b:Author>
      <b:Author>
        <b:Corporate>The Open University</b:Corporate>
      </b:Author>
    </b:Author>
    <b:Title>information technology: a new era? </b:Title>
    <b:Year>2019</b:Year>
    <b:InternetSiteTitle>OpenLearn</b:InternetSiteTitle>
    <b:Month>05</b:Month>
    <b:Day>18</b:Day>
    <b:URL>https://www.open.edu/openlearn/people-politics-law/politics-policy-people/sociology/information-technology-new-era/content-section-0?active-tab=description-tab</b:URL>
    <b:RefOrder>1</b:RefOrder>
  </b:Source>
  <b:Source>
    <b:Tag>ENU</b:Tag>
    <b:SourceType>DocumentFromInternetSite</b:SourceType>
    <b:Guid>{1EF22386-7A71-4470-8EC6-449475AB528D}</b:Guid>
    <b:Author>
      <b:Author>
        <b:Corporate>ENISA</b:Corporate>
      </b:Author>
    </b:Author>
    <b:Title>ENISA Publications</b:Title>
    <b:InternetSiteTitle>ENISA</b:InternetSiteTitle>
    <b:Year>2019</b:Year>
    <b:Month>January</b:Month>
    <b:Day>28</b:Day>
    <b:URL>https://www.enisa.europa.eu/publications/enisa-threat-landscape-report-2018</b:URL>
    <b:RefOrder>2</b:RefOrder>
  </b:Source>
  <b:Source>
    <b:Tag>Cou16</b:Tag>
    <b:SourceType>Misc</b:SourceType>
    <b:Guid>{1AC74097-5699-4346-A5ED-CA613604500A}</b:Guid>
    <b:Title>Directive 95/46/EC General Data Protection Regulation</b:Title>
    <b:Year>2016</b:Year>
    <b:City>Brussels</b:City>
    <b:Publisher>Council of the European Union</b:Publisher>
    <b:Author>
      <b:Author>
        <b:Corporate>Council of the European Union</b:Corporate>
      </b:Author>
    </b:Author>
    <b:PublicationTitle>Directive 95/46/EC General Data Protection Regulation</b:PublicationTitle>
    <b:Month>April</b:Month>
    <b:Day>6</b:Day>
    <b:RefOrder>3</b:RefOrder>
  </b:Source>
  <b:Source>
    <b:Tag>IGg19</b:Tag>
    <b:SourceType>DocumentFromInternetSite</b:SourceType>
    <b:Guid>{61553880-2625-479D-92BB-6718C584851F}</b:Guid>
    <b:Author>
      <b:Author>
        <b:Corporate>IGguru Information Governance News &amp; Community</b:Corporate>
      </b:Author>
    </b:Author>
    <b:Title>IGguru News</b:Title>
    <b:InternetSiteTitle>IGguru</b:InternetSiteTitle>
    <b:Year>2019</b:Year>
    <b:Month>March</b:Month>
    <b:Day>12</b:Day>
    <b:URL>https://igguru.net/2019/03/12/ciso-the-c-level-executive-missing-from-your-board/</b:URL>
    <b:RefOrder>4</b:RefOrder>
  </b:Source>
  <b:Source>
    <b:Tag>Hay19</b:Tag>
    <b:SourceType>InternetSite</b:SourceType>
    <b:Guid>{D59D3CE3-04C7-4D9F-8E0B-04C13718CB22}</b:Guid>
    <b:Title>CISO Manifesto: Recruiting CISOs not Unicorns</b:Title>
    <b:Year>2019</b:Year>
    <b:InternetSiteTitle>Peerlyst</b:InternetSiteTitle>
    <b:URL>https://www.peerlyst.com/posts/ciso-manifesto-recruiting-cisos-not-unicorns-gary-hayslip-cissp-cisa-crisc-ccsk?utm_source=peerlyst_perspective&amp;utm_medium=email&amp;utm_content=peerlyst_post&amp;utm_campaign=top_posts_on_peerlyst_this_week_05142019</b:URL>
    <b:Month>May</b:Month>
    <b:Day>5</b:Day>
    <b:Author>
      <b:Author>
        <b:NameList>
          <b:Person>
            <b:Last>Hayslip</b:Last>
            <b:First>Gary</b:First>
          </b:Person>
        </b:NameList>
      </b:Author>
    </b:Author>
    <b:RefOrder>5</b:RefOrder>
  </b:Source>
  <b:Source>
    <b:Tag>Eva</b:Tag>
    <b:SourceType>JournalArticle</b:SourceType>
    <b:Guid>{75CCF3B9-30F9-4B83-A953-FD9E63995CFA}</b:Guid>
    <b:Author>
      <b:Author>
        <b:NameList>
          <b:Person>
            <b:Last>Weishäupl</b:Last>
            <b:First>Eva</b:First>
          </b:Person>
          <b:Person>
            <b:Last>Yasasin</b:Last>
            <b:First>Emrah</b:First>
          </b:Person>
          <b:Person>
            <b:Last>Schryen</b:Last>
            <b:First>Guido</b:First>
          </b:Person>
        </b:NameList>
      </b:Author>
    </b:Author>
    <b:Title>Information security investments: An exploratory multiple case study on decision-making, evaluation and learning</b:Title>
    <b:JournalName>Elsevier Computers &amp; Security</b:JournalName>
    <b:Year>2018</b:Year>
    <b:Pages>807-823</b:Pages>
    <b:RefOrder>6</b:RefOrder>
  </b:Source>
  <b:Source>
    <b:Tag>Lev19</b:Tag>
    <b:SourceType>InternetSite</b:SourceType>
    <b:Guid>{DDB047B3-2610-7E4D-B684-96AD8F1FA358}</b:Guid>
    <b:Title>Next-Generation IT Talent Strategies</b:Title>
    <b:InternetSiteTitle>Connected Future</b:InternetSiteTitle>
    <b:URL>https://connectedfutures.cisco.com/report/next-generation-it-talent-strategies/</b:URL>
    <b:Year>2019</b:Year>
    <b:Author>
      <b:Author>
        <b:NameList>
          <b:Person>
            <b:Last>Levy</b:Last>
            <b:First>Eran</b:First>
          </b:Person>
          <b:Person>
            <b:Last>Delaney</b:Last>
            <b:First>Kevin</b:First>
          </b:Person>
          <b:Person>
            <b:Last>Hill</b:Last>
            <b:First>Jessica</b:First>
          </b:Person>
          <b:Person>
            <b:Last>Buckalew</b:Last>
            <b:First>Lauren</b:First>
          </b:Person>
        </b:NameList>
      </b:Author>
    </b:Author>
    <b:RefOrder>7</b:RefOrder>
  </b:Source>
  <b:Source>
    <b:Tag>Dar19</b:Tag>
    <b:SourceType>DocumentFromInternetSite</b:SourceType>
    <b:Guid>{1CDDF1B5-0264-4FB5-BB94-B99DCD9B696D}</b:Guid>
    <b:Author>
      <b:Author>
        <b:NameList>
          <b:Person>
            <b:Last>Death</b:Last>
            <b:First>Darren</b:First>
          </b:Person>
        </b:NameList>
      </b:Author>
    </b:Author>
    <b:Title>Security Current Resources</b:Title>
    <b:InternetSiteTitle>Security Current</b:InternetSiteTitle>
    <b:Year>2019</b:Year>
    <b:Month>February</b:Month>
    <b:Day>18</b:Day>
    <b:URL>https://securitycurrent.com/must-have-skills-for-cisos-a-cisos-connect-report/</b:URL>
    <b:RefOrder>8</b:RefOrder>
  </b:Source>
  <b:Source>
    <b:Tag>Val16</b:Tag>
    <b:SourceType>ArticleInAPeriodical</b:SourceType>
    <b:Guid>{A7C3A06B-F294-4A35-A351-E638A06BC953}</b:Guid>
    <b:Title>The emerging role of the CISO</b:Title>
    <b:Year>2016</b:Year>
    <b:Month>November - December</b:Month>
    <b:Pages>585-591</b:Pages>
    <b:Author>
      <b:Author>
        <b:NameList>
          <b:Person>
            <b:Last>Hooper</b:Last>
            <b:First>Val</b:First>
          </b:Person>
          <b:Person>
            <b:Last>McKissack</b:Last>
            <b:First>Jeremy</b:First>
          </b:Person>
        </b:NameList>
      </b:Author>
    </b:Author>
    <b:PeriodicalTitle>Elsevier Business Horizons</b:PeriodicalTitle>
    <b:RefOrder>9</b:RefOrder>
  </b:Source>
  <b:Source>
    <b:Tag>Put19</b:Tag>
    <b:SourceType>JournalArticle</b:SourceType>
    <b:Guid>{65CDDE5B-9393-6747-991C-9E09D70E5D37}</b:Guid>
    <b:Title>The role of the CISO and the digital security landscape</b:Title>
    <b:Year>2019</b:Year>
    <b:JournalName>ISACA Journal</b:JournalName>
    <b:Pages>22-29</b:Pages>
    <b:Author>
      <b:Author>
        <b:NameList>
          <b:Person>
            <b:Last>Putrus</b:Last>
            <b:First>Robert</b:First>
          </b:Person>
        </b:NameList>
      </b:Author>
    </b:Author>
    <b:Volume>2</b:Volume>
    <b:RefOrder>10</b:RefOrder>
  </b:Source>
  <b:Source>
    <b:Tag>Mar12</b:Tag>
    <b:SourceType>JournalArticle</b:SourceType>
    <b:Guid>{FD0A7823-5529-49C4-AA6F-F2B4A6F6545D}</b:Guid>
    <b:Author>
      <b:Author>
        <b:NameList>
          <b:Person>
            <b:Last>Robles</b:Last>
            <b:First>Marcel</b:First>
            <b:Middle>M.</b:Middle>
          </b:Person>
        </b:NameList>
      </b:Author>
    </b:Author>
    <b:Title>Executive perceptions of the top 10 soft skills needed in today's workplace</b:Title>
    <b:JournalName>Business Communication Quarterly</b:JournalName>
    <b:Year>2012</b:Year>
    <b:Pages>453-465</b:Pages>
    <b:RefOrder>11</b:RefOrder>
  </b:Source>
  <b:Source>
    <b:Tag>MZo13</b:Tag>
    <b:SourceType>ArticleInAPeriodical</b:SourceType>
    <b:Guid>{EC703022-1443-4CF5-BD68-52BF4A0F702D}</b:Guid>
    <b:Author>
      <b:Author>
        <b:NameList>
          <b:Person>
            <b:Last>Zohrabi</b:Last>
            <b:First>M.</b:First>
          </b:Person>
        </b:NameList>
      </b:Author>
    </b:Author>
    <b:Title>Mixed Method Research: Instruments, Validity, Reliability and Reporting Findings </b:Title>
    <b:PeriodicalTitle>Theory and Practice in Language Studies</b:PeriodicalTitle>
    <b:Year>2013</b:Year>
    <b:Month>Februari</b:Month>
    <b:Pages>254-262</b:Pages>
    <b:RefOrder>12</b:RefOrder>
  </b:Source>
  <b:Source>
    <b:Tag>van21</b:Tag>
    <b:SourceType>ConferenceProceedings</b:SourceType>
    <b:Guid>{CC75C2FC-F1F8-4206-B80E-3F0583FF3181}</b:Guid>
    <b:Author>
      <b:Author>
        <b:NameList>
          <b:Person>
            <b:Last>van Yperen Hagendoorn</b:Last>
            <b:First>J.M.J</b:First>
          </b:Person>
          <b:Person>
            <b:Last>Smit</b:Last>
            <b:First>R.</b:First>
          </b:Person>
          <b:Person>
            <b:Last>Versteeg</b:Last>
            <b:First>P.</b:First>
          </b:Person>
          <b:Person>
            <b:Last>Ravesteijn</b:Last>
            <b:First>P.</b:First>
          </b:Person>
        </b:NameList>
      </b:Author>
    </b:Author>
    <b:Title>Soft Skills of the Chief Security Information Officer</b:Title>
    <b:Pages>467-480</b:Pages>
    <b:Year>2021</b:Year>
    <b:ConferenceName>34th Bled eConference Proceedings - Digital Support from Crisis to Progressive Change. June 27-30</b:ConferenceName>
    <b:City>Bled</b:City>
    <b:Publisher>Bled University</b:Publisher>
    <b:RefOrder>13</b:RefOrder>
  </b:Source>
  <b:Source>
    <b:Tag>Ala151</b:Tag>
    <b:SourceType>Book</b:SourceType>
    <b:Guid>{2AA1440A-076E-4795-BB44-90F2449E4ECF}</b:Guid>
    <b:Title>Business Research Methods</b:Title>
    <b:Year>2015</b:Year>
    <b:City>New York</b:City>
    <b:Publisher>Oxford University Press</b:Publisher>
    <b:Author>
      <b:Author>
        <b:NameList>
          <b:Person>
            <b:Last>Bryman</b:Last>
            <b:First>Alan</b:First>
          </b:Person>
          <b:Person>
            <b:Last>Bell</b:Last>
            <b:First>Emma</b:First>
          </b:Person>
        </b:NameList>
      </b:Author>
    </b:Author>
    <b:RefOrder>14</b:RefOrder>
  </b:Source>
  <b:Source>
    <b:Tag>Sus09</b:Tag>
    <b:SourceType>ArticleInAPeriodical</b:SourceType>
    <b:Guid>{AD712415-F401-4CD4-98C9-17D7B519C970}</b:Guid>
    <b:Author>
      <b:Author>
        <b:NameList>
          <b:Person>
            <b:Last>Iqbal</b:Last>
            <b:First>Susanne</b:First>
          </b:Person>
          <b:Person>
            <b:Last>Pipon-Young</b:Last>
            <b:First>Laura</b:First>
          </b:Person>
        </b:NameList>
      </b:Author>
    </b:Author>
    <b:Title>The Delphi method</b:Title>
    <b:PeriodicalTitle>The Psychologist</b:PeriodicalTitle>
    <b:Year>2009</b:Year>
    <b:Month>July</b:Month>
    <b:Pages>598-601</b:Pages>
    <b:RefOrder>15</b:RefOrder>
  </b:Source>
  <b:Source>
    <b:Tag>Chi04</b:Tag>
    <b:SourceType>JournalArticle</b:SourceType>
    <b:Guid>{022B262E-4668-4F7D-BA7D-CD0B0FB5965B}</b:Guid>
    <b:Author>
      <b:Author>
        <b:NameList>
          <b:Person>
            <b:Last>Okoli</b:Last>
            <b:First>Chitu</b:First>
          </b:Person>
          <b:Person>
            <b:Last>Pawlowski</b:Last>
            <b:First>Suzanne</b:First>
            <b:Middle>D.</b:Middle>
          </b:Person>
        </b:NameList>
      </b:Author>
    </b:Author>
    <b:Title>The Delphi method as a research tool: An example, design considerations and applications</b:Title>
    <b:JournalName>Information &amp; Management</b:JournalName>
    <b:Year>2004</b:Year>
    <b:Pages>15-29</b:Pages>
    <b:RefOrder>16</b:RefOrder>
  </b:Source>
  <b:Source>
    <b:Tag>Chi07</b:Tag>
    <b:SourceType>JournalArticle</b:SourceType>
    <b:Guid>{1821B094-58CD-4007-8850-D2B5ED022E76}</b:Guid>
    <b:Author>
      <b:Author>
        <b:NameList>
          <b:Person>
            <b:Last>Hsu</b:Last>
            <b:First>Chia-Chien</b:First>
          </b:Person>
          <b:Person>
            <b:Last>Sandford</b:Last>
            <b:First>Brian</b:First>
            <b:Middle>A.</b:Middle>
          </b:Person>
        </b:NameList>
      </b:Author>
    </b:Author>
    <b:Title>The Delphi Technique: Making Sense Of Consensus</b:Title>
    <b:JournalName>Practical Assessment, Research &amp; Evaluation</b:JournalName>
    <b:Year>2007</b:Year>
    <b:Pages>1-8</b:Pages>
    <b:RefOrder>17</b:RefOrder>
  </b:Source>
  <b:Source>
    <b:Tag>Tob12</b:Tag>
    <b:SourceType>Book</b:SourceType>
    <b:Guid>{E4E2CC1D-9428-4D60-A54D-16E45974250B}</b:Guid>
    <b:Author>
      <b:Author>
        <b:NameList>
          <b:Person>
            <b:Last>Börger</b:Last>
            <b:First>Tobias</b:First>
          </b:Person>
        </b:NameList>
      </b:Author>
    </b:Author>
    <b:Title>Social desirablility and environmental valuation</b:Title>
    <b:Year>2012</b:Year>
    <b:City>Frankfurt am Main</b:City>
    <b:Publisher>Peter Lang</b:Publisher>
    <b:RefOrder>18</b:RefOrder>
  </b:Source>
  <b:Source>
    <b:Tag>BWi99</b:Tag>
    <b:SourceType>JournalArticle</b:SourceType>
    <b:Guid>{967FDCAC-6C97-43FC-90FC-4075711246A5}</b:Guid>
    <b:Author>
      <b:Author>
        <b:NameList>
          <b:Person>
            <b:Last>B.Willis</b:Last>
            <b:First>Gordon</b:First>
          </b:Person>
          <b:Person>
            <b:Last>Lessler</b:Last>
            <b:First>Judith</b:First>
            <b:Middle>T.</b:Middle>
          </b:Person>
        </b:NameList>
      </b:Author>
    </b:Author>
    <b:Title>Question Appraisal System QAS-99</b:Title>
    <b:Year>1999</b:Year>
    <b:JournalName>Researchgate</b:JournalName>
    <b:Pages>1-86</b:Pages>
    <b:RefOrder>19</b:RefOrder>
  </b:Source>
  <b:Source>
    <b:Tag>ING19</b:Tag>
    <b:SourceType>DocumentFromInternetSite</b:SourceType>
    <b:Guid>{72926564-DBF8-4B45-BC21-0BFE8265AE94}</b:Guid>
    <b:Title>Indeed</b:Title>
    <b:Year>2019</b:Year>
    <b:Author>
      <b:Author>
        <b:Corporate>ING</b:Corporate>
      </b:Author>
    </b:Author>
    <b:InternetSiteTitle>Indeed</b:InternetSiteTitle>
    <b:Month>04</b:Month>
    <b:Day>28</b:Day>
    <b:URL>indeed.nl</b:URL>
    <b:RefOrder>20</b:RefOrder>
  </b:Source>
  <b:Source>
    <b:Tag>Gem19</b:Tag>
    <b:SourceType>DocumentFromInternetSite</b:SourceType>
    <b:Guid>{9E6B2A8C-899E-4D7B-BBCF-B158D8B03C96}</b:Guid>
    <b:Author>
      <b:Author>
        <b:Corporate>Gemeente Amsterdam</b:Corporate>
      </b:Author>
    </b:Author>
    <b:Title>Stepstone</b:Title>
    <b:InternetSiteTitle>Stepstone</b:InternetSiteTitle>
    <b:Year>2019</b:Year>
    <b:Month>04</b:Month>
    <b:Day>28</b:Day>
    <b:URL>stepstone.nl</b:URL>
    <b:RefOrder>21</b:RefOrder>
  </b:Source>
  <b:Source>
    <b:Tag>Bar161</b:Tag>
    <b:SourceType>JournalArticle</b:SourceType>
    <b:Guid>{8DDA45D7-DB9C-491A-9616-96B253FFDB0A}</b:Guid>
    <b:Title>Definition, development, assessment of soft skills and their role for the quality of organizations and enterprises</b:Title>
    <b:Year>2016</b:Year>
    <b:Author>
      <b:Author>
        <b:NameList>
          <b:Person>
            <b:Last>Chimatti</b:Last>
            <b:First>Barbara</b:First>
          </b:Person>
        </b:NameList>
      </b:Author>
    </b:Author>
    <b:JournalName>International Journal for Quality Research v10 n1</b:JournalName>
    <b:Pages>97-130</b:Pages>
    <b:RefOrder>22</b:RefOrder>
  </b:Source>
  <b:Source>
    <b:Tag>Ind20</b:Tag>
    <b:SourceType>InternetSite</b:SourceType>
    <b:Guid>{D4360D58-EE79-4473-8A78-1CA873E878AE}</b:Guid>
    <b:Title>Work Ethic Skills: Top 8 Values to Develop</b:Title>
    <b:Year>2020</b:Year>
    <b:InternetSiteTitle>Career development</b:InternetSiteTitle>
    <b:Month>July</b:Month>
    <b:Day>30</b:Day>
    <b:URL>https://www.indeed.com/career-advice/career-development/work-ethic-skills</b:URL>
    <b:Author>
      <b:Author>
        <b:NameList>
          <b:Person>
            <b:Last>Indeed.com</b:Last>
          </b:Person>
        </b:NameList>
      </b:Author>
    </b:Author>
    <b:RefOrder>23</b:RefOrder>
  </b:Source>
</b:Sources>
</file>

<file path=customXml/itemProps1.xml><?xml version="1.0" encoding="utf-8"?>
<ds:datastoreItem xmlns:ds="http://schemas.openxmlformats.org/officeDocument/2006/customXml" ds:itemID="{B6ACF9BF-C230-424D-B770-09CD68B3A9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1145B3-07E6-4A12-BFD4-BECF10244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67CFBF-91A4-4DD8-A2FD-3EA1E390B5F5}">
  <ds:schemaRefs>
    <ds:schemaRef ds:uri="http://schemas.microsoft.com/sharepoint/v3/contenttype/forms"/>
  </ds:schemaRefs>
</ds:datastoreItem>
</file>

<file path=customXml/itemProps4.xml><?xml version="1.0" encoding="utf-8"?>
<ds:datastoreItem xmlns:ds="http://schemas.openxmlformats.org/officeDocument/2006/customXml" ds:itemID="{02F1D229-394E-A242-A5D3-510578F1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5079</Words>
  <Characters>28952</Characters>
  <Application>Microsoft Office Word</Application>
  <DocSecurity>0</DocSecurity>
  <Lines>241</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Heijmans</dc:creator>
  <cp:keywords/>
  <dc:description/>
  <cp:lastModifiedBy>Pascal Ravesteijn</cp:lastModifiedBy>
  <cp:revision>4</cp:revision>
  <dcterms:created xsi:type="dcterms:W3CDTF">2021-11-25T15:38:00Z</dcterms:created>
  <dcterms:modified xsi:type="dcterms:W3CDTF">2021-12-28T13:37:00Z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0x010100C7BC12CCEB4D9D42BA2F1F716B33EBB8</vt:lpwstr>
  </property>
</Properties>
</file>